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99" w:rsidRDefault="00536E3A">
      <w:pPr>
        <w:pStyle w:val="Kop1"/>
      </w:pPr>
      <w:r>
        <w:t>The carbon footprint analysis of producing styrene from organic waste</w:t>
      </w:r>
    </w:p>
    <w:p w:rsidR="00DC7D99" w:rsidRDefault="00DC7D99"/>
    <w:p w:rsidR="00DC7D99" w:rsidRDefault="00536E3A">
      <w:pPr>
        <w:pStyle w:val="Kop2"/>
        <w:rPr>
          <w:color w:val="000000"/>
          <w:sz w:val="20"/>
          <w:szCs w:val="20"/>
        </w:rPr>
      </w:pPr>
      <w:r>
        <w:t>The aim</w:t>
      </w:r>
    </w:p>
    <w:p w:rsidR="00DC7D99" w:rsidRDefault="00536E3A">
      <w:pPr>
        <w:pBdr>
          <w:top w:val="nil"/>
          <w:left w:val="nil"/>
          <w:bottom w:val="nil"/>
          <w:right w:val="nil"/>
          <w:between w:val="nil"/>
        </w:pBdr>
        <w:spacing w:after="0" w:line="240" w:lineRule="auto"/>
        <w:jc w:val="both"/>
        <w:rPr>
          <w:color w:val="000000"/>
          <w:sz w:val="20"/>
          <w:szCs w:val="20"/>
        </w:rPr>
      </w:pPr>
      <w:r>
        <w:rPr>
          <w:color w:val="000000"/>
          <w:sz w:val="20"/>
          <w:szCs w:val="20"/>
        </w:rPr>
        <w:t>We are facing an huge increase in global population, from the current world population of f 7.6 billion to an expected 9.8 billion in 2050</w:t>
      </w:r>
      <w:r>
        <w:rPr>
          <w:color w:val="000000"/>
          <w:sz w:val="20"/>
          <w:szCs w:val="20"/>
          <w:vertAlign w:val="superscript"/>
        </w:rPr>
        <w:footnoteReference w:id="1"/>
      </w:r>
      <w:r>
        <w:rPr>
          <w:color w:val="000000"/>
          <w:sz w:val="20"/>
          <w:szCs w:val="20"/>
        </w:rPr>
        <w:t>. This projected increase in global population leads to an increase in both food and energy consumption, which in turn in is associated with an increased emission of</w:t>
      </w:r>
      <w:r>
        <w:rPr>
          <w:sz w:val="20"/>
          <w:szCs w:val="20"/>
        </w:rPr>
        <w:t xml:space="preserve"> </w:t>
      </w:r>
      <w:r>
        <w:rPr>
          <w:color w:val="000000"/>
          <w:sz w:val="20"/>
          <w:szCs w:val="20"/>
        </w:rPr>
        <w:t>greenhouse gasses. Right now, we live in a plastic generation. The global production and c</w:t>
      </w:r>
      <w:r>
        <w:rPr>
          <w:color w:val="000000"/>
          <w:sz w:val="20"/>
          <w:szCs w:val="20"/>
        </w:rPr>
        <w:t>onsumption of plastics have been on the rise for over 50 years now, reaching a plastic consumption of 297.5 million tons by the end of 2015</w:t>
      </w:r>
      <w:r>
        <w:rPr>
          <w:color w:val="000000"/>
          <w:sz w:val="20"/>
          <w:szCs w:val="20"/>
          <w:vertAlign w:val="superscript"/>
        </w:rPr>
        <w:footnoteReference w:id="2"/>
      </w:r>
      <w:r>
        <w:rPr>
          <w:color w:val="000000"/>
          <w:sz w:val="20"/>
          <w:szCs w:val="20"/>
        </w:rPr>
        <w:t>. Plastic products from the petrochemical industr</w:t>
      </w:r>
      <w:r>
        <w:rPr>
          <w:sz w:val="20"/>
          <w:szCs w:val="20"/>
        </w:rPr>
        <w:t>y</w:t>
      </w:r>
      <w:r>
        <w:rPr>
          <w:color w:val="000000"/>
          <w:sz w:val="20"/>
          <w:szCs w:val="20"/>
        </w:rPr>
        <w:t xml:space="preserve"> have a high carbon footprint (</w:t>
      </w:r>
      <w:proofErr w:type="spellStart"/>
      <w:r>
        <w:rPr>
          <w:color w:val="000000"/>
          <w:sz w:val="20"/>
          <w:szCs w:val="20"/>
        </w:rPr>
        <w:t>Boonniteewanich</w:t>
      </w:r>
      <w:proofErr w:type="spellEnd"/>
      <w:r>
        <w:rPr>
          <w:color w:val="000000"/>
          <w:sz w:val="20"/>
          <w:szCs w:val="20"/>
        </w:rPr>
        <w:t xml:space="preserve">, </w:t>
      </w:r>
      <w:proofErr w:type="spellStart"/>
      <w:r>
        <w:rPr>
          <w:color w:val="000000"/>
          <w:sz w:val="20"/>
          <w:szCs w:val="20"/>
        </w:rPr>
        <w:t>Pitivut</w:t>
      </w:r>
      <w:proofErr w:type="spellEnd"/>
      <w:r>
        <w:rPr>
          <w:color w:val="000000"/>
          <w:sz w:val="20"/>
          <w:szCs w:val="20"/>
        </w:rPr>
        <w:t xml:space="preserve">, </w:t>
      </w:r>
      <w:proofErr w:type="spellStart"/>
      <w:r>
        <w:rPr>
          <w:color w:val="000000"/>
          <w:sz w:val="20"/>
          <w:szCs w:val="20"/>
        </w:rPr>
        <w:t>Tongjoy</w:t>
      </w:r>
      <w:proofErr w:type="spellEnd"/>
      <w:r>
        <w:rPr>
          <w:color w:val="000000"/>
          <w:sz w:val="20"/>
          <w:szCs w:val="20"/>
        </w:rPr>
        <w:t xml:space="preserve">, </w:t>
      </w:r>
      <w:r>
        <w:rPr>
          <w:color w:val="000000"/>
          <w:sz w:val="20"/>
          <w:szCs w:val="20"/>
        </w:rPr>
        <w:t xml:space="preserve">&amp; </w:t>
      </w:r>
      <w:proofErr w:type="spellStart"/>
      <w:r>
        <w:rPr>
          <w:color w:val="000000"/>
          <w:sz w:val="20"/>
          <w:szCs w:val="20"/>
        </w:rPr>
        <w:t>Lapnonkawow</w:t>
      </w:r>
      <w:proofErr w:type="spellEnd"/>
      <w:r>
        <w:rPr>
          <w:color w:val="000000"/>
          <w:sz w:val="20"/>
          <w:szCs w:val="20"/>
        </w:rPr>
        <w:t>, 2014). The combination of global population increase and a mass consumed non-eco-friendly product, in the form of petroleum-based plastics, could be disastrous. This is one of the reasons that the Groningen iGEM team’s project attempts to pr</w:t>
      </w:r>
      <w:r>
        <w:rPr>
          <w:color w:val="000000"/>
          <w:sz w:val="20"/>
          <w:szCs w:val="20"/>
        </w:rPr>
        <w:t>oduce (bio)styrene, a building block for many plastics, from cellulose as an alternative to substitute the petroleum-based styrene. In this section we have carried out a partial Life Cycle Assessment (LCA</w:t>
      </w:r>
      <w:r>
        <w:rPr>
          <w:sz w:val="20"/>
          <w:szCs w:val="20"/>
        </w:rPr>
        <w:t xml:space="preserve">) </w:t>
      </w:r>
      <w:r>
        <w:rPr>
          <w:color w:val="000000"/>
          <w:sz w:val="20"/>
          <w:szCs w:val="20"/>
        </w:rPr>
        <w:t>to identify the environmental impact of both</w:t>
      </w:r>
      <w:r>
        <w:rPr>
          <w:sz w:val="20"/>
          <w:szCs w:val="20"/>
        </w:rPr>
        <w:t xml:space="preserve"> </w:t>
      </w:r>
      <w:r>
        <w:rPr>
          <w:color w:val="000000"/>
          <w:sz w:val="20"/>
          <w:szCs w:val="20"/>
        </w:rPr>
        <w:t>petro</w:t>
      </w:r>
      <w:r>
        <w:rPr>
          <w:color w:val="000000"/>
          <w:sz w:val="20"/>
          <w:szCs w:val="20"/>
        </w:rPr>
        <w:t>leum-based styrene and bio-based styrene. The main purpose is to provide an insight of the environmental burden that is caused by the worldwide styrene industry in terms of carbon dioxide equivalent emissions (CO</w:t>
      </w:r>
      <w:r>
        <w:rPr>
          <w:color w:val="000000"/>
          <w:sz w:val="20"/>
          <w:szCs w:val="20"/>
          <w:vertAlign w:val="subscript"/>
        </w:rPr>
        <w:t>2</w:t>
      </w:r>
      <w:r>
        <w:rPr>
          <w:color w:val="000000"/>
          <w:sz w:val="20"/>
          <w:szCs w:val="20"/>
        </w:rPr>
        <w:t>-eq) and to showcase our greener alternativ</w:t>
      </w:r>
      <w:r>
        <w:rPr>
          <w:color w:val="000000"/>
          <w:sz w:val="20"/>
          <w:szCs w:val="20"/>
        </w:rPr>
        <w:t>e.</w:t>
      </w:r>
    </w:p>
    <w:p w:rsidR="00DC7D99" w:rsidRDefault="00DC7D99">
      <w:pPr>
        <w:pBdr>
          <w:top w:val="nil"/>
          <w:left w:val="nil"/>
          <w:bottom w:val="nil"/>
          <w:right w:val="nil"/>
          <w:between w:val="nil"/>
        </w:pBdr>
        <w:spacing w:after="0" w:line="240" w:lineRule="auto"/>
        <w:jc w:val="both"/>
        <w:rPr>
          <w:color w:val="000000"/>
          <w:sz w:val="20"/>
          <w:szCs w:val="20"/>
        </w:rPr>
      </w:pPr>
    </w:p>
    <w:p w:rsidR="00DC7D99" w:rsidRDefault="00536E3A">
      <w:pPr>
        <w:pBdr>
          <w:top w:val="nil"/>
          <w:left w:val="nil"/>
          <w:bottom w:val="nil"/>
          <w:right w:val="nil"/>
          <w:between w:val="nil"/>
        </w:pBdr>
        <w:spacing w:after="0" w:line="240" w:lineRule="auto"/>
        <w:jc w:val="both"/>
        <w:rPr>
          <w:color w:val="000000"/>
          <w:sz w:val="20"/>
          <w:szCs w:val="20"/>
        </w:rPr>
      </w:pPr>
      <w:r>
        <w:rPr>
          <w:color w:val="000000"/>
          <w:sz w:val="20"/>
          <w:szCs w:val="20"/>
        </w:rPr>
        <w:t xml:space="preserve">For our LCA analysis </w:t>
      </w:r>
      <w:r>
        <w:rPr>
          <w:sz w:val="20"/>
          <w:szCs w:val="20"/>
        </w:rPr>
        <w:t>we have used the Dutch GER-Values. These values are used for a</w:t>
      </w:r>
      <w:r>
        <w:rPr>
          <w:color w:val="000000"/>
          <w:sz w:val="20"/>
          <w:szCs w:val="20"/>
        </w:rPr>
        <w:t xml:space="preserve"> ‘cradle to gate’ analysis and </w:t>
      </w:r>
      <w:r>
        <w:rPr>
          <w:sz w:val="20"/>
          <w:szCs w:val="20"/>
        </w:rPr>
        <w:t xml:space="preserve">include all emissions that are needed to produce a certain product. These </w:t>
      </w:r>
      <w:proofErr w:type="spellStart"/>
      <w:r>
        <w:rPr>
          <w:sz w:val="20"/>
          <w:szCs w:val="20"/>
        </w:rPr>
        <w:t>processemisions</w:t>
      </w:r>
      <w:proofErr w:type="spellEnd"/>
      <w:r>
        <w:rPr>
          <w:sz w:val="20"/>
          <w:szCs w:val="20"/>
        </w:rPr>
        <w:t xml:space="preserve"> of the products do exclude any carbon fluxes fro</w:t>
      </w:r>
      <w:r>
        <w:rPr>
          <w:sz w:val="20"/>
          <w:szCs w:val="20"/>
        </w:rPr>
        <w:t>m or to the atmosphere. In case of a bio-based feedstock this is a complete analysis because the carbon uptake is balanced with the emissions once the product is disposed. For fossil styrene a value of 3,1 KG needs to be added to this  (</w:t>
      </w:r>
      <w:proofErr w:type="spellStart"/>
      <w:r>
        <w:rPr>
          <w:sz w:val="20"/>
          <w:szCs w:val="20"/>
        </w:rPr>
        <w:t>Croezen</w:t>
      </w:r>
      <w:proofErr w:type="spellEnd"/>
      <w:r>
        <w:rPr>
          <w:sz w:val="20"/>
          <w:szCs w:val="20"/>
        </w:rPr>
        <w:t xml:space="preserve"> &amp; </w:t>
      </w:r>
      <w:proofErr w:type="spellStart"/>
      <w:r>
        <w:rPr>
          <w:sz w:val="20"/>
          <w:szCs w:val="20"/>
        </w:rPr>
        <w:t>Lieshout</w:t>
      </w:r>
      <w:proofErr w:type="spellEnd"/>
      <w:r>
        <w:rPr>
          <w:sz w:val="20"/>
          <w:szCs w:val="20"/>
        </w:rPr>
        <w:t>,</w:t>
      </w:r>
      <w:r>
        <w:rPr>
          <w:sz w:val="20"/>
          <w:szCs w:val="20"/>
        </w:rPr>
        <w:t xml:space="preserve"> 2015) because these emission will lead to a net carbon emission. </w:t>
      </w:r>
      <w:r>
        <w:rPr>
          <w:color w:val="000000"/>
          <w:sz w:val="20"/>
          <w:szCs w:val="20"/>
        </w:rPr>
        <w:t>(see figure 1) (</w:t>
      </w:r>
      <w:proofErr w:type="spellStart"/>
      <w:r>
        <w:rPr>
          <w:color w:val="000000"/>
          <w:sz w:val="20"/>
          <w:szCs w:val="20"/>
        </w:rPr>
        <w:t>Croezen</w:t>
      </w:r>
      <w:proofErr w:type="spellEnd"/>
      <w:r>
        <w:rPr>
          <w:color w:val="000000"/>
          <w:sz w:val="20"/>
          <w:szCs w:val="20"/>
        </w:rPr>
        <w:t xml:space="preserve"> &amp; </w:t>
      </w:r>
      <w:proofErr w:type="spellStart"/>
      <w:r>
        <w:rPr>
          <w:color w:val="000000"/>
          <w:sz w:val="20"/>
          <w:szCs w:val="20"/>
        </w:rPr>
        <w:t>Lieshout</w:t>
      </w:r>
      <w:proofErr w:type="spellEnd"/>
      <w:r>
        <w:rPr>
          <w:color w:val="000000"/>
          <w:sz w:val="20"/>
          <w:szCs w:val="20"/>
        </w:rPr>
        <w:t xml:space="preserve">, 2015). A full LCA should also </w:t>
      </w:r>
      <w:r>
        <w:rPr>
          <w:sz w:val="20"/>
          <w:szCs w:val="20"/>
        </w:rPr>
        <w:t>include</w:t>
      </w:r>
      <w:r>
        <w:rPr>
          <w:color w:val="000000"/>
          <w:sz w:val="20"/>
          <w:szCs w:val="20"/>
        </w:rPr>
        <w:t xml:space="preserve"> </w:t>
      </w:r>
      <w:r>
        <w:rPr>
          <w:sz w:val="20"/>
          <w:szCs w:val="20"/>
        </w:rPr>
        <w:t xml:space="preserve">other impact categories however it is decided not to include these. </w:t>
      </w:r>
      <w:r>
        <w:rPr>
          <w:color w:val="000000"/>
          <w:sz w:val="20"/>
          <w:szCs w:val="20"/>
        </w:rPr>
        <w:t>The reason for this</w:t>
      </w:r>
      <w:r>
        <w:rPr>
          <w:sz w:val="20"/>
          <w:szCs w:val="20"/>
        </w:rPr>
        <w:t xml:space="preserve"> that </w:t>
      </w:r>
      <w:r>
        <w:rPr>
          <w:color w:val="000000"/>
          <w:sz w:val="20"/>
          <w:szCs w:val="20"/>
        </w:rPr>
        <w:t>we discovered the LCA a</w:t>
      </w:r>
      <w:r>
        <w:rPr>
          <w:color w:val="000000"/>
          <w:sz w:val="20"/>
          <w:szCs w:val="20"/>
        </w:rPr>
        <w:t>nalysis in a late phase of the project</w:t>
      </w:r>
      <w:r>
        <w:rPr>
          <w:sz w:val="20"/>
          <w:szCs w:val="20"/>
        </w:rPr>
        <w:t xml:space="preserve"> which forced us to simplify the analysis. </w:t>
      </w:r>
    </w:p>
    <w:p w:rsidR="00DC7D99" w:rsidRDefault="00536E3A">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785323" cy="13896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488" t="3523" r="1455" b="13697"/>
                    <a:stretch>
                      <a:fillRect/>
                    </a:stretch>
                  </pic:blipFill>
                  <pic:spPr>
                    <a:xfrm>
                      <a:off x="0" y="0"/>
                      <a:ext cx="5785323" cy="1389660"/>
                    </a:xfrm>
                    <a:prstGeom prst="rect">
                      <a:avLst/>
                    </a:prstGeom>
                    <a:ln/>
                  </pic:spPr>
                </pic:pic>
              </a:graphicData>
            </a:graphic>
          </wp:inline>
        </w:drawing>
      </w:r>
    </w:p>
    <w:p w:rsidR="00DC7D99" w:rsidRDefault="00536E3A">
      <w:pPr>
        <w:pBdr>
          <w:top w:val="nil"/>
          <w:left w:val="nil"/>
          <w:bottom w:val="nil"/>
          <w:right w:val="nil"/>
          <w:between w:val="nil"/>
        </w:pBdr>
        <w:spacing w:after="200" w:line="240" w:lineRule="auto"/>
        <w:jc w:val="both"/>
        <w:rPr>
          <w:i/>
          <w:color w:val="000000"/>
          <w:sz w:val="20"/>
          <w:szCs w:val="20"/>
        </w:rPr>
      </w:pPr>
      <w:r>
        <w:rPr>
          <w:i/>
          <w:color w:val="44546A"/>
          <w:sz w:val="18"/>
          <w:szCs w:val="18"/>
        </w:rPr>
        <w:t xml:space="preserve">Figure 1. Figure retrieved from: </w:t>
      </w:r>
      <w:hyperlink r:id="rId9">
        <w:r>
          <w:rPr>
            <w:i/>
            <w:color w:val="0563C1"/>
            <w:sz w:val="18"/>
            <w:szCs w:val="18"/>
            <w:u w:val="single"/>
          </w:rPr>
          <w:t>http://www.scielo.org.za/scielo.php?script=sci_arttext&amp;pid=S1021-20192013000200001</w:t>
        </w:r>
      </w:hyperlink>
      <w:r>
        <w:rPr>
          <w:i/>
          <w:color w:val="44546A"/>
          <w:sz w:val="18"/>
          <w:szCs w:val="18"/>
        </w:rPr>
        <w:t xml:space="preserve"> </w:t>
      </w:r>
    </w:p>
    <w:p w:rsidR="00DC7D99" w:rsidRDefault="00536E3A">
      <w:pPr>
        <w:pBdr>
          <w:top w:val="nil"/>
          <w:left w:val="nil"/>
          <w:bottom w:val="nil"/>
          <w:right w:val="nil"/>
          <w:between w:val="nil"/>
        </w:pBdr>
        <w:spacing w:after="0" w:line="240" w:lineRule="auto"/>
        <w:jc w:val="both"/>
        <w:rPr>
          <w:color w:val="000000"/>
          <w:sz w:val="20"/>
          <w:szCs w:val="20"/>
        </w:rPr>
      </w:pPr>
      <w:r>
        <w:rPr>
          <w:color w:val="000000"/>
          <w:sz w:val="20"/>
          <w:szCs w:val="20"/>
        </w:rPr>
        <w:t>In order to evaluate the environmental impact of the two ways of producing styrene, we met with multiple experts from the University of Groningen, and with experts from var</w:t>
      </w:r>
      <w:r>
        <w:rPr>
          <w:color w:val="000000"/>
          <w:sz w:val="20"/>
          <w:szCs w:val="20"/>
        </w:rPr>
        <w:t xml:space="preserve">ious </w:t>
      </w:r>
      <w:r>
        <w:rPr>
          <w:sz w:val="20"/>
          <w:szCs w:val="20"/>
        </w:rPr>
        <w:t>startups</w:t>
      </w:r>
      <w:r>
        <w:rPr>
          <w:color w:val="000000"/>
          <w:sz w:val="20"/>
          <w:szCs w:val="20"/>
        </w:rPr>
        <w:t xml:space="preserve"> and companies. First of all, </w:t>
      </w:r>
      <w:proofErr w:type="spellStart"/>
      <w:r>
        <w:rPr>
          <w:color w:val="000000"/>
          <w:sz w:val="20"/>
          <w:szCs w:val="20"/>
        </w:rPr>
        <w:t>Tjerk</w:t>
      </w:r>
      <w:proofErr w:type="spellEnd"/>
      <w:r>
        <w:rPr>
          <w:color w:val="000000"/>
          <w:sz w:val="20"/>
          <w:szCs w:val="20"/>
        </w:rPr>
        <w:t xml:space="preserve"> </w:t>
      </w:r>
      <w:proofErr w:type="spellStart"/>
      <w:r>
        <w:rPr>
          <w:color w:val="000000"/>
          <w:sz w:val="20"/>
          <w:szCs w:val="20"/>
        </w:rPr>
        <w:t>Douma</w:t>
      </w:r>
      <w:proofErr w:type="spellEnd"/>
      <w:r>
        <w:rPr>
          <w:color w:val="000000"/>
          <w:sz w:val="20"/>
          <w:szCs w:val="20"/>
        </w:rPr>
        <w:t xml:space="preserve">, a master student whose specialized in sustainability and did a major part of the analysis. We also met with prof. dr. F. Francesco </w:t>
      </w:r>
      <w:proofErr w:type="spellStart"/>
      <w:r>
        <w:rPr>
          <w:color w:val="000000"/>
          <w:sz w:val="20"/>
          <w:szCs w:val="20"/>
        </w:rPr>
        <w:t>Picchioni</w:t>
      </w:r>
      <w:proofErr w:type="spellEnd"/>
      <w:r>
        <w:rPr>
          <w:color w:val="000000"/>
          <w:sz w:val="20"/>
          <w:szCs w:val="20"/>
        </w:rPr>
        <w:t>, of the University of Groningen, head of the Product techno</w:t>
      </w:r>
      <w:r>
        <w:rPr>
          <w:color w:val="000000"/>
          <w:sz w:val="20"/>
          <w:szCs w:val="20"/>
        </w:rPr>
        <w:t xml:space="preserve">logy department - Engineering and Technology Institute Groningen.  Moreover, we met with the start-up companies </w:t>
      </w:r>
      <w:proofErr w:type="spellStart"/>
      <w:r>
        <w:rPr>
          <w:color w:val="000000"/>
          <w:sz w:val="20"/>
          <w:szCs w:val="20"/>
        </w:rPr>
        <w:t>BioBTX</w:t>
      </w:r>
      <w:proofErr w:type="spellEnd"/>
      <w:r>
        <w:rPr>
          <w:color w:val="000000"/>
          <w:sz w:val="20"/>
          <w:szCs w:val="20"/>
        </w:rPr>
        <w:t xml:space="preserve"> and Zernike Advanced Processing and the companies CE Delft and </w:t>
      </w:r>
      <w:proofErr w:type="spellStart"/>
      <w:r>
        <w:rPr>
          <w:color w:val="000000"/>
          <w:sz w:val="20"/>
          <w:szCs w:val="20"/>
        </w:rPr>
        <w:t>Avantium</w:t>
      </w:r>
      <w:proofErr w:type="spellEnd"/>
      <w:r>
        <w:rPr>
          <w:color w:val="000000"/>
          <w:sz w:val="20"/>
          <w:szCs w:val="20"/>
        </w:rPr>
        <w:t xml:space="preserve">.       </w:t>
      </w:r>
    </w:p>
    <w:p w:rsidR="00DC7D99" w:rsidRDefault="00DC7D99">
      <w:pPr>
        <w:pBdr>
          <w:top w:val="nil"/>
          <w:left w:val="nil"/>
          <w:bottom w:val="nil"/>
          <w:right w:val="nil"/>
          <w:between w:val="nil"/>
        </w:pBdr>
        <w:spacing w:after="0" w:line="240" w:lineRule="auto"/>
        <w:jc w:val="both"/>
        <w:rPr>
          <w:color w:val="000000"/>
          <w:sz w:val="20"/>
          <w:szCs w:val="20"/>
        </w:rPr>
      </w:pPr>
    </w:p>
    <w:p w:rsidR="00DC7D99" w:rsidRDefault="00536E3A">
      <w:pPr>
        <w:pStyle w:val="Kop2"/>
        <w:rPr>
          <w:highlight w:val="white"/>
        </w:rPr>
      </w:pPr>
      <w:r>
        <w:rPr>
          <w:highlight w:val="white"/>
        </w:rPr>
        <w:t>Analysis</w:t>
      </w:r>
    </w:p>
    <w:p w:rsidR="00DC7D99" w:rsidRDefault="00536E3A" w:rsidP="005D0DE4">
      <w:pPr>
        <w:jc w:val="both"/>
        <w:rPr>
          <w:sz w:val="20"/>
          <w:szCs w:val="20"/>
        </w:rPr>
      </w:pPr>
      <w:r>
        <w:rPr>
          <w:sz w:val="20"/>
          <w:szCs w:val="20"/>
        </w:rPr>
        <w:t xml:space="preserve">For our analysis, we compared the process of producing styrene from a bio-based feedstock to the process of producing styrene with petroleum as a feedstock. To define the cradle to gate emission of petroleum-based </w:t>
      </w:r>
      <w:r>
        <w:rPr>
          <w:sz w:val="20"/>
          <w:szCs w:val="20"/>
        </w:rPr>
        <w:lastRenderedPageBreak/>
        <w:t>styrene we contacted two experts of the co</w:t>
      </w:r>
      <w:r>
        <w:rPr>
          <w:sz w:val="20"/>
          <w:szCs w:val="20"/>
        </w:rPr>
        <w:t>mpany CE Delft, the authors of a report stating the Gross Energy Requirements values (GER) of industrial feedstock (</w:t>
      </w:r>
      <w:proofErr w:type="spellStart"/>
      <w:r>
        <w:rPr>
          <w:sz w:val="20"/>
          <w:szCs w:val="20"/>
        </w:rPr>
        <w:t>Croezen</w:t>
      </w:r>
      <w:proofErr w:type="spellEnd"/>
      <w:r>
        <w:rPr>
          <w:sz w:val="20"/>
          <w:szCs w:val="20"/>
        </w:rPr>
        <w:t xml:space="preserve"> &amp; </w:t>
      </w:r>
      <w:proofErr w:type="spellStart"/>
      <w:r>
        <w:rPr>
          <w:sz w:val="20"/>
          <w:szCs w:val="20"/>
        </w:rPr>
        <w:t>Lieshout</w:t>
      </w:r>
      <w:proofErr w:type="spellEnd"/>
      <w:r>
        <w:rPr>
          <w:sz w:val="20"/>
          <w:szCs w:val="20"/>
        </w:rPr>
        <w:t>, 2015). With their expert help, we were able to define the cradle to gate emission of petroleum-based styrene for our ana</w:t>
      </w:r>
      <w:r>
        <w:rPr>
          <w:sz w:val="20"/>
          <w:szCs w:val="20"/>
        </w:rPr>
        <w:t xml:space="preserve">lysis, the value being: 7.8 </w:t>
      </w:r>
      <w:r>
        <w:rPr>
          <w:color w:val="000000"/>
          <w:sz w:val="20"/>
          <w:szCs w:val="20"/>
        </w:rPr>
        <w:t>CO</w:t>
      </w:r>
      <w:r>
        <w:rPr>
          <w:color w:val="000000"/>
          <w:sz w:val="20"/>
          <w:szCs w:val="20"/>
          <w:vertAlign w:val="subscript"/>
        </w:rPr>
        <w:t>2</w:t>
      </w:r>
      <w:r>
        <w:rPr>
          <w:color w:val="000000"/>
          <w:sz w:val="20"/>
          <w:szCs w:val="20"/>
        </w:rPr>
        <w:t>-eq per kilogram styrene.</w:t>
      </w:r>
    </w:p>
    <w:p w:rsidR="00DC7D99" w:rsidRDefault="00536E3A" w:rsidP="005D0DE4">
      <w:pPr>
        <w:jc w:val="both"/>
        <w:rPr>
          <w:sz w:val="20"/>
          <w:szCs w:val="20"/>
        </w:rPr>
      </w:pPr>
      <w:r>
        <w:rPr>
          <w:sz w:val="20"/>
          <w:szCs w:val="20"/>
        </w:rPr>
        <w:t xml:space="preserve">Now we need to compare the GER of petroleum-based styrene with the GER of our </w:t>
      </w:r>
      <w:proofErr w:type="spellStart"/>
      <w:r>
        <w:rPr>
          <w:sz w:val="20"/>
          <w:szCs w:val="20"/>
        </w:rPr>
        <w:t>StyGreen</w:t>
      </w:r>
      <w:proofErr w:type="spellEnd"/>
      <w:r>
        <w:rPr>
          <w:sz w:val="20"/>
          <w:szCs w:val="20"/>
        </w:rPr>
        <w:t xml:space="preserve">. In order to do this we need to define the GER of </w:t>
      </w:r>
      <w:proofErr w:type="spellStart"/>
      <w:r>
        <w:rPr>
          <w:sz w:val="20"/>
          <w:szCs w:val="20"/>
        </w:rPr>
        <w:t>StyGreen</w:t>
      </w:r>
      <w:proofErr w:type="spellEnd"/>
      <w:r>
        <w:rPr>
          <w:sz w:val="20"/>
          <w:szCs w:val="20"/>
        </w:rPr>
        <w:t xml:space="preserve">. </w:t>
      </w:r>
      <w:r>
        <w:rPr>
          <w:color w:val="000000"/>
          <w:sz w:val="20"/>
          <w:szCs w:val="20"/>
        </w:rPr>
        <w:t>The first step in defining the amount of CO</w:t>
      </w:r>
      <w:r>
        <w:rPr>
          <w:color w:val="000000"/>
          <w:sz w:val="20"/>
          <w:szCs w:val="20"/>
          <w:vertAlign w:val="subscript"/>
        </w:rPr>
        <w:t>2</w:t>
      </w:r>
      <w:r>
        <w:rPr>
          <w:color w:val="000000"/>
          <w:sz w:val="20"/>
          <w:szCs w:val="20"/>
        </w:rPr>
        <w:t xml:space="preserve">-eq per kilogram </w:t>
      </w:r>
      <w:proofErr w:type="spellStart"/>
      <w:r>
        <w:rPr>
          <w:sz w:val="20"/>
          <w:szCs w:val="20"/>
        </w:rPr>
        <w:t>StyGreen</w:t>
      </w:r>
      <w:proofErr w:type="spellEnd"/>
      <w:r>
        <w:rPr>
          <w:color w:val="000000"/>
          <w:sz w:val="20"/>
          <w:szCs w:val="20"/>
        </w:rPr>
        <w:t xml:space="preserve"> is, defining the feedstock that is going to be used. We explored many different feedstock options </w:t>
      </w:r>
      <w:r>
        <w:rPr>
          <w:color w:val="FF0000"/>
          <w:sz w:val="20"/>
          <w:szCs w:val="20"/>
        </w:rPr>
        <w:t xml:space="preserve">(link </w:t>
      </w:r>
      <w:hyperlink r:id="rId10" w:anchor="source">
        <w:r>
          <w:rPr>
            <w:color w:val="1155CC"/>
            <w:sz w:val="20"/>
            <w:szCs w:val="20"/>
            <w:u w:val="single"/>
          </w:rPr>
          <w:t>http://2018.igem.org/Team:Groningen/Applied_</w:t>
        </w:r>
        <w:r>
          <w:rPr>
            <w:color w:val="1155CC"/>
            <w:sz w:val="20"/>
            <w:szCs w:val="20"/>
            <w:u w:val="single"/>
          </w:rPr>
          <w:t>Design#source</w:t>
        </w:r>
      </w:hyperlink>
      <w:r>
        <w:rPr>
          <w:color w:val="FF0000"/>
          <w:sz w:val="20"/>
          <w:szCs w:val="20"/>
        </w:rPr>
        <w:t xml:space="preserve">). </w:t>
      </w:r>
      <w:r>
        <w:rPr>
          <w:sz w:val="20"/>
          <w:szCs w:val="20"/>
        </w:rPr>
        <w:t>After comparing all possibilities, we decided to use recycled toilet paper. The main reason for this choice was the sustainability aspect. Toilet paper is product that is not used for anything at this moment. Therefore, it does not hold muc</w:t>
      </w:r>
      <w:r>
        <w:rPr>
          <w:sz w:val="20"/>
          <w:szCs w:val="20"/>
        </w:rPr>
        <w:t>h monetary value at all, or it holds even negative monetary value. Which means that we can potentially add value to the life-cycle of toilet paper. Another reason for choosing toilet paper, is that we do not want to compete with the food industry. It might</w:t>
      </w:r>
      <w:r>
        <w:rPr>
          <w:sz w:val="20"/>
          <w:szCs w:val="20"/>
        </w:rPr>
        <w:t xml:space="preserve"> be feasible to use sugar, or first generation resources to produce styrene, but this does not fit into our view of a better world. </w:t>
      </w:r>
    </w:p>
    <w:p w:rsidR="00DC7D99" w:rsidRDefault="00536E3A" w:rsidP="005D0DE4">
      <w:pPr>
        <w:jc w:val="both"/>
        <w:rPr>
          <w:sz w:val="20"/>
          <w:szCs w:val="20"/>
        </w:rPr>
      </w:pPr>
      <w:r>
        <w:rPr>
          <w:sz w:val="20"/>
          <w:szCs w:val="20"/>
        </w:rPr>
        <w:t>The second step was to calculate the carbon footprint of recycled toilet paper. The carbon footprint of a feedstock in a ce</w:t>
      </w:r>
      <w:r>
        <w:rPr>
          <w:sz w:val="20"/>
          <w:szCs w:val="20"/>
        </w:rPr>
        <w:t>rtain phase of the Life-Cycle analysis is proportional to the monetary value the feedstock holds in that particular phase. Since the recycled toilet paper is derived from paper, we looked into the monetary value of recycled toilet paper in combination to t</w:t>
      </w:r>
      <w:r>
        <w:rPr>
          <w:sz w:val="20"/>
          <w:szCs w:val="20"/>
        </w:rPr>
        <w:t>he resource, paper. After this we looked at the price of the toilet paper, and compared to the price of wood. This way, we could make a parallel to the toilet paper CO2-eq. The cradle to grave carbon emission of paper is 0.9 CO2-eq per kg paper (</w:t>
      </w:r>
      <w:proofErr w:type="spellStart"/>
      <w:r>
        <w:rPr>
          <w:sz w:val="20"/>
          <w:szCs w:val="20"/>
        </w:rPr>
        <w:t>Croezen</w:t>
      </w:r>
      <w:proofErr w:type="spellEnd"/>
      <w:r>
        <w:rPr>
          <w:sz w:val="20"/>
          <w:szCs w:val="20"/>
        </w:rPr>
        <w:t xml:space="preserve"> &amp; </w:t>
      </w:r>
      <w:proofErr w:type="spellStart"/>
      <w:r>
        <w:rPr>
          <w:sz w:val="20"/>
          <w:szCs w:val="20"/>
        </w:rPr>
        <w:t>Lieshout</w:t>
      </w:r>
      <w:proofErr w:type="spellEnd"/>
      <w:r>
        <w:rPr>
          <w:sz w:val="20"/>
          <w:szCs w:val="20"/>
        </w:rPr>
        <w:t xml:space="preserve">, 2015; figure 2 gives a visual representation of the factors determining the carbon emission of paper feedstock). </w:t>
      </w:r>
    </w:p>
    <w:p w:rsidR="00DC7D99" w:rsidRDefault="00536E3A" w:rsidP="005D0DE4">
      <w:pPr>
        <w:jc w:val="both"/>
        <w:rPr>
          <w:sz w:val="20"/>
          <w:szCs w:val="20"/>
        </w:rPr>
      </w:pPr>
      <w:r>
        <w:rPr>
          <w:noProof/>
          <w:sz w:val="20"/>
          <w:szCs w:val="20"/>
        </w:rPr>
        <w:drawing>
          <wp:inline distT="114300" distB="114300" distL="114300" distR="114300">
            <wp:extent cx="5305425" cy="304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05425" cy="3048000"/>
                    </a:xfrm>
                    <a:prstGeom prst="rect">
                      <a:avLst/>
                    </a:prstGeom>
                    <a:ln/>
                  </pic:spPr>
                </pic:pic>
              </a:graphicData>
            </a:graphic>
          </wp:inline>
        </w:drawing>
      </w:r>
    </w:p>
    <w:p w:rsidR="00DC7D99" w:rsidRDefault="00536E3A" w:rsidP="005D0DE4">
      <w:pPr>
        <w:spacing w:after="200" w:line="240" w:lineRule="auto"/>
        <w:jc w:val="both"/>
        <w:rPr>
          <w:sz w:val="20"/>
          <w:szCs w:val="20"/>
        </w:rPr>
      </w:pPr>
      <w:r>
        <w:rPr>
          <w:i/>
          <w:color w:val="44546A"/>
          <w:sz w:val="18"/>
          <w:szCs w:val="18"/>
        </w:rPr>
        <w:t xml:space="preserve">Figure 1. Life cycle assessment of offset paper production (Silva et al., 2015). </w:t>
      </w:r>
    </w:p>
    <w:p w:rsidR="00DC7D99" w:rsidRDefault="00536E3A" w:rsidP="005D0DE4">
      <w:pPr>
        <w:jc w:val="both"/>
        <w:rPr>
          <w:sz w:val="20"/>
          <w:szCs w:val="20"/>
        </w:rPr>
      </w:pPr>
      <w:r>
        <w:rPr>
          <w:sz w:val="20"/>
          <w:szCs w:val="20"/>
        </w:rPr>
        <w:t>The cost of paper is €150 per ton. Due to the fa</w:t>
      </w:r>
      <w:r>
        <w:rPr>
          <w:sz w:val="20"/>
          <w:szCs w:val="20"/>
        </w:rPr>
        <w:t>ct that toilet paper recycling is still in its infancy, it was hard to define the representative price for this resource. However, after talking to several experts</w:t>
      </w:r>
      <w:r>
        <w:rPr>
          <w:color w:val="FF0000"/>
          <w:sz w:val="20"/>
          <w:szCs w:val="20"/>
        </w:rPr>
        <w:t>(see/link IHP (Porter))</w:t>
      </w:r>
      <w:r>
        <w:rPr>
          <w:sz w:val="20"/>
          <w:szCs w:val="20"/>
        </w:rPr>
        <w:t>, we came to a price estimate of  €15 per ton. Since, toilet paper hol</w:t>
      </w:r>
      <w:r>
        <w:rPr>
          <w:sz w:val="20"/>
          <w:szCs w:val="20"/>
        </w:rPr>
        <w:t xml:space="preserve">ds 10% of the monetary value of paper, we divided the CO2-eq by 10 as well, giving our recycled toilet paper feedstock a carbon footprint of 0.09 CO2-eq per kilogram. </w:t>
      </w:r>
    </w:p>
    <w:p w:rsidR="00DC7D99" w:rsidRDefault="00536E3A" w:rsidP="005D0DE4">
      <w:pPr>
        <w:spacing w:after="200" w:line="240" w:lineRule="auto"/>
        <w:jc w:val="both"/>
        <w:rPr>
          <w:sz w:val="20"/>
          <w:szCs w:val="20"/>
        </w:rPr>
      </w:pPr>
      <w:r>
        <w:rPr>
          <w:i/>
          <w:color w:val="44546A"/>
          <w:sz w:val="18"/>
          <w:szCs w:val="18"/>
        </w:rPr>
        <w:t xml:space="preserve">Table 1. The carbon emissions of our feedstock, recycled toilet paper.  </w:t>
      </w:r>
    </w:p>
    <w:tbl>
      <w:tblPr>
        <w:tblStyle w:val="a"/>
        <w:tblW w:w="85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2"/>
        <w:gridCol w:w="2079"/>
        <w:gridCol w:w="2166"/>
        <w:gridCol w:w="2036"/>
      </w:tblGrid>
      <w:tr w:rsidR="00DC7D99" w:rsidTr="008B7700">
        <w:trPr>
          <w:trHeight w:val="297"/>
        </w:trPr>
        <w:tc>
          <w:tcPr>
            <w:tcW w:w="2252" w:type="dxa"/>
            <w:tcBorders>
              <w:top w:val="single" w:sz="8" w:space="0" w:color="C5E0B3"/>
              <w:left w:val="single" w:sz="8" w:space="0" w:color="C5E0B3"/>
              <w:bottom w:val="single" w:sz="12" w:space="0" w:color="A8D08D"/>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i/>
                <w:sz w:val="20"/>
                <w:szCs w:val="20"/>
              </w:rPr>
            </w:pPr>
            <w:r>
              <w:rPr>
                <w:i/>
                <w:sz w:val="20"/>
                <w:szCs w:val="20"/>
              </w:rPr>
              <w:t>Feedstock</w:t>
            </w:r>
          </w:p>
        </w:tc>
        <w:tc>
          <w:tcPr>
            <w:tcW w:w="2079" w:type="dxa"/>
            <w:tcBorders>
              <w:top w:val="single" w:sz="8" w:space="0" w:color="C5E0B3"/>
              <w:left w:val="nil"/>
              <w:bottom w:val="single" w:sz="12" w:space="0" w:color="A8D08D"/>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i/>
                <w:sz w:val="20"/>
                <w:szCs w:val="20"/>
              </w:rPr>
            </w:pPr>
            <w:r>
              <w:rPr>
                <w:i/>
                <w:sz w:val="20"/>
                <w:szCs w:val="20"/>
              </w:rPr>
              <w:t>Price</w:t>
            </w:r>
            <w:r>
              <w:rPr>
                <w:i/>
                <w:sz w:val="20"/>
                <w:szCs w:val="20"/>
              </w:rPr>
              <w:t xml:space="preserve"> (€ per ton)</w:t>
            </w:r>
          </w:p>
        </w:tc>
        <w:tc>
          <w:tcPr>
            <w:tcW w:w="2166" w:type="dxa"/>
            <w:tcBorders>
              <w:top w:val="single" w:sz="8" w:space="0" w:color="C5E0B3"/>
              <w:left w:val="nil"/>
              <w:bottom w:val="single" w:sz="12" w:space="0" w:color="A8D08D"/>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i/>
                <w:sz w:val="20"/>
                <w:szCs w:val="20"/>
              </w:rPr>
            </w:pPr>
            <w:r>
              <w:rPr>
                <w:i/>
                <w:sz w:val="20"/>
                <w:szCs w:val="20"/>
              </w:rPr>
              <w:t>Conversion factor</w:t>
            </w:r>
          </w:p>
        </w:tc>
        <w:tc>
          <w:tcPr>
            <w:tcW w:w="2036" w:type="dxa"/>
            <w:tcBorders>
              <w:top w:val="single" w:sz="8" w:space="0" w:color="C5E0B3"/>
              <w:left w:val="nil"/>
              <w:bottom w:val="single" w:sz="12" w:space="0" w:color="A8D08D"/>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i/>
                <w:sz w:val="20"/>
                <w:szCs w:val="20"/>
              </w:rPr>
            </w:pPr>
            <w:r>
              <w:rPr>
                <w:i/>
                <w:sz w:val="20"/>
                <w:szCs w:val="20"/>
              </w:rPr>
              <w:t>Emissions (CO</w:t>
            </w:r>
            <w:r>
              <w:rPr>
                <w:i/>
                <w:sz w:val="20"/>
                <w:szCs w:val="20"/>
                <w:vertAlign w:val="subscript"/>
              </w:rPr>
              <w:t>2</w:t>
            </w:r>
            <w:r>
              <w:rPr>
                <w:i/>
                <w:sz w:val="20"/>
                <w:szCs w:val="20"/>
              </w:rPr>
              <w:t xml:space="preserve"> per kg)</w:t>
            </w:r>
          </w:p>
        </w:tc>
      </w:tr>
      <w:tr w:rsidR="00DC7D99" w:rsidTr="008B7700">
        <w:trPr>
          <w:trHeight w:val="181"/>
        </w:trPr>
        <w:tc>
          <w:tcPr>
            <w:tcW w:w="2252" w:type="dxa"/>
            <w:tcBorders>
              <w:top w:val="nil"/>
              <w:left w:val="single" w:sz="8" w:space="0" w:color="C5E0B3"/>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sz w:val="20"/>
                <w:szCs w:val="20"/>
              </w:rPr>
            </w:pPr>
            <w:r>
              <w:rPr>
                <w:sz w:val="20"/>
                <w:szCs w:val="20"/>
              </w:rPr>
              <w:lastRenderedPageBreak/>
              <w:t>Paper</w:t>
            </w:r>
          </w:p>
        </w:tc>
        <w:tc>
          <w:tcPr>
            <w:tcW w:w="2079"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150</w:t>
            </w:r>
          </w:p>
        </w:tc>
        <w:tc>
          <w:tcPr>
            <w:tcW w:w="2166"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90%</w:t>
            </w:r>
          </w:p>
        </w:tc>
        <w:tc>
          <w:tcPr>
            <w:tcW w:w="2036"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0.9</w:t>
            </w:r>
          </w:p>
        </w:tc>
      </w:tr>
      <w:tr w:rsidR="00DC7D99" w:rsidTr="008B7700">
        <w:trPr>
          <w:trHeight w:val="181"/>
        </w:trPr>
        <w:tc>
          <w:tcPr>
            <w:tcW w:w="2252" w:type="dxa"/>
            <w:tcBorders>
              <w:top w:val="nil"/>
              <w:left w:val="single" w:sz="8" w:space="0" w:color="C5E0B3"/>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sz w:val="20"/>
                <w:szCs w:val="20"/>
              </w:rPr>
            </w:pPr>
            <w:r>
              <w:rPr>
                <w:sz w:val="20"/>
                <w:szCs w:val="20"/>
              </w:rPr>
              <w:t>Recycled toilet paper</w:t>
            </w:r>
          </w:p>
        </w:tc>
        <w:tc>
          <w:tcPr>
            <w:tcW w:w="2079"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15</w:t>
            </w:r>
          </w:p>
        </w:tc>
        <w:tc>
          <w:tcPr>
            <w:tcW w:w="2166"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10%</w:t>
            </w:r>
          </w:p>
        </w:tc>
        <w:tc>
          <w:tcPr>
            <w:tcW w:w="2036" w:type="dxa"/>
            <w:tcBorders>
              <w:top w:val="nil"/>
              <w:left w:val="nil"/>
              <w:bottom w:val="single" w:sz="8" w:space="0" w:color="C5E0B3"/>
              <w:right w:val="single" w:sz="8" w:space="0" w:color="C5E0B3"/>
            </w:tcBorders>
            <w:tcMar>
              <w:top w:w="100" w:type="dxa"/>
              <w:left w:w="100" w:type="dxa"/>
              <w:bottom w:w="100" w:type="dxa"/>
              <w:right w:w="100" w:type="dxa"/>
            </w:tcMar>
          </w:tcPr>
          <w:p w:rsidR="00DC7D99" w:rsidRDefault="00536E3A" w:rsidP="005D0DE4">
            <w:pPr>
              <w:spacing w:after="0" w:line="276" w:lineRule="auto"/>
              <w:jc w:val="center"/>
              <w:rPr>
                <w:sz w:val="20"/>
                <w:szCs w:val="20"/>
              </w:rPr>
            </w:pPr>
            <w:r>
              <w:rPr>
                <w:sz w:val="20"/>
                <w:szCs w:val="20"/>
              </w:rPr>
              <w:t>0.09</w:t>
            </w:r>
          </w:p>
        </w:tc>
      </w:tr>
    </w:tbl>
    <w:p w:rsidR="00DC7D99" w:rsidRDefault="00DC7D99" w:rsidP="005D0DE4">
      <w:pPr>
        <w:jc w:val="both"/>
        <w:rPr>
          <w:sz w:val="20"/>
          <w:szCs w:val="20"/>
        </w:rPr>
      </w:pPr>
    </w:p>
    <w:p w:rsidR="009A7CA2" w:rsidRDefault="00536E3A" w:rsidP="005D0DE4">
      <w:pPr>
        <w:jc w:val="both"/>
        <w:rPr>
          <w:sz w:val="20"/>
          <w:szCs w:val="20"/>
        </w:rPr>
      </w:pPr>
      <w:r>
        <w:rPr>
          <w:sz w:val="20"/>
          <w:szCs w:val="20"/>
        </w:rPr>
        <w:t xml:space="preserve">Next we need to know how much energy (and therefore, how carbon emissions) is required to produce 1 kilogram of </w:t>
      </w:r>
      <w:proofErr w:type="spellStart"/>
      <w:r>
        <w:rPr>
          <w:sz w:val="20"/>
          <w:szCs w:val="20"/>
        </w:rPr>
        <w:t>StyGreen</w:t>
      </w:r>
      <w:proofErr w:type="spellEnd"/>
      <w:r>
        <w:rPr>
          <w:sz w:val="20"/>
          <w:szCs w:val="20"/>
        </w:rPr>
        <w:t>. The energy requirement is based</w:t>
      </w:r>
      <w:r w:rsidR="009A7CA2">
        <w:rPr>
          <w:sz w:val="20"/>
          <w:szCs w:val="20"/>
        </w:rPr>
        <w:t xml:space="preserve"> on the following formula</w:t>
      </w:r>
      <w:r w:rsidR="008B7700">
        <w:rPr>
          <w:sz w:val="20"/>
          <w:szCs w:val="20"/>
        </w:rPr>
        <w:t xml:space="preserve"> (see table 2)</w:t>
      </w:r>
      <w:r w:rsidR="009A7CA2">
        <w:rPr>
          <w:sz w:val="20"/>
          <w:szCs w:val="20"/>
        </w:rPr>
        <w:t xml:space="preserve">: </w:t>
      </w:r>
    </w:p>
    <w:p w:rsidR="00DC7D99" w:rsidRPr="008B7700" w:rsidRDefault="009A7CA2" w:rsidP="005D0DE4">
      <w:pPr>
        <w:jc w:val="both"/>
        <w:rPr>
          <w:sz w:val="20"/>
          <w:szCs w:val="20"/>
        </w:rPr>
      </w:pPr>
      <m:oMathPara>
        <m:oMath>
          <m:r>
            <w:rPr>
              <w:rFonts w:ascii="Cambria Math" w:hAnsi="Cambria Math"/>
              <w:sz w:val="20"/>
              <w:szCs w:val="20"/>
            </w:rPr>
            <m:t>Energy requirements=(</m:t>
          </m:r>
          <m:d>
            <m:dPr>
              <m:ctrlPr>
                <w:rPr>
                  <w:rFonts w:ascii="Cambria Math" w:hAnsi="Cambria Math"/>
                  <w:i/>
                  <w:sz w:val="20"/>
                  <w:szCs w:val="20"/>
                </w:rPr>
              </m:ctrlPr>
            </m:dPr>
            <m:e>
              <m:r>
                <w:rPr>
                  <w:rFonts w:ascii="Cambria Math" w:hAnsi="Cambria Math"/>
                  <w:sz w:val="20"/>
                  <w:szCs w:val="20"/>
                </w:rPr>
                <m:t>b-c-d</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b*0.5</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b-c-d</m:t>
              </m:r>
            </m:e>
          </m:d>
          <m:r>
            <w:rPr>
              <w:rFonts w:ascii="Cambria Math" w:hAnsi="Cambria Math"/>
              <w:sz w:val="20"/>
              <w:szCs w:val="20"/>
            </w:rPr>
            <m:t>*</m:t>
          </m:r>
          <m:r>
            <w:rPr>
              <w:rFonts w:ascii="Cambria Math" w:hAnsi="Cambria Math"/>
              <w:sz w:val="20"/>
              <w:szCs w:val="20"/>
            </w:rPr>
            <m:t>f*i)</m:t>
          </m:r>
        </m:oMath>
      </m:oMathPara>
    </w:p>
    <w:p w:rsidR="008B7700" w:rsidRDefault="008B7700" w:rsidP="005D0DE4">
      <w:pPr>
        <w:jc w:val="both"/>
        <w:rPr>
          <w:sz w:val="20"/>
          <w:szCs w:val="20"/>
        </w:rPr>
      </w:pPr>
      <w:r>
        <w:rPr>
          <w:sz w:val="20"/>
          <w:szCs w:val="20"/>
        </w:rPr>
        <w:t xml:space="preserve">From the energy requirements we can now derive the process emissions in </w:t>
      </w:r>
      <w:r w:rsidRPr="008B7700">
        <w:rPr>
          <w:sz w:val="20"/>
          <w:szCs w:val="20"/>
        </w:rPr>
        <w:t>CO</w:t>
      </w:r>
      <w:r w:rsidRPr="008B7700">
        <w:rPr>
          <w:sz w:val="20"/>
          <w:szCs w:val="20"/>
          <w:vertAlign w:val="subscript"/>
        </w:rPr>
        <w:t>2</w:t>
      </w:r>
      <w:r w:rsidRPr="008B7700">
        <w:rPr>
          <w:sz w:val="20"/>
          <w:szCs w:val="20"/>
        </w:rPr>
        <w:t xml:space="preserve"> per kg</w:t>
      </w:r>
      <w:r>
        <w:rPr>
          <w:sz w:val="20"/>
          <w:szCs w:val="20"/>
        </w:rPr>
        <w:t xml:space="preserve"> </w:t>
      </w:r>
      <w:proofErr w:type="spellStart"/>
      <w:r>
        <w:rPr>
          <w:sz w:val="20"/>
          <w:szCs w:val="20"/>
        </w:rPr>
        <w:t>StyGreen</w:t>
      </w:r>
      <w:proofErr w:type="spellEnd"/>
      <w:r>
        <w:rPr>
          <w:sz w:val="20"/>
          <w:szCs w:val="20"/>
        </w:rPr>
        <w:t xml:space="preserve"> by means of the following formula (see table 2):</w:t>
      </w:r>
    </w:p>
    <w:p w:rsidR="008B7700" w:rsidRPr="008B7700" w:rsidRDefault="008B7700" w:rsidP="005D0DE4">
      <w:pPr>
        <w:jc w:val="both"/>
        <w:rPr>
          <w:sz w:val="20"/>
          <w:szCs w:val="20"/>
        </w:rPr>
      </w:pPr>
      <m:oMathPara>
        <m:oMath>
          <m:r>
            <w:rPr>
              <w:rFonts w:ascii="Cambria Math" w:hAnsi="Cambria Math"/>
              <w:sz w:val="20"/>
              <w:szCs w:val="20"/>
            </w:rPr>
            <m:t>Process emissions</m:t>
          </m:r>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energy requirements</m:t>
                          </m:r>
                        </m:num>
                        <m:den>
                          <m:r>
                            <w:rPr>
                              <w:rFonts w:ascii="Cambria Math" w:hAnsi="Cambria Math"/>
                              <w:sz w:val="20"/>
                              <w:szCs w:val="20"/>
                            </w:rPr>
                            <m:t>g</m:t>
                          </m:r>
                        </m:den>
                      </m:f>
                    </m:e>
                  </m:d>
                  <m:r>
                    <w:rPr>
                      <w:rFonts w:ascii="Cambria Math" w:hAnsi="Cambria Math"/>
                      <w:sz w:val="20"/>
                      <w:szCs w:val="20"/>
                    </w:rPr>
                    <m:t>*</m:t>
                  </m:r>
                  <m:r>
                    <w:rPr>
                      <w:rFonts w:ascii="Cambria Math" w:hAnsi="Cambria Math"/>
                      <w:sz w:val="20"/>
                      <w:szCs w:val="20"/>
                    </w:rPr>
                    <m:t>i</m:t>
                  </m:r>
                </m:e>
              </m:d>
            </m:num>
            <m:den>
              <m:r>
                <w:rPr>
                  <w:rFonts w:ascii="Cambria Math" w:hAnsi="Cambria Math"/>
                  <w:sz w:val="20"/>
                  <w:szCs w:val="20"/>
                </w:rPr>
                <m:t>j</m:t>
              </m:r>
            </m:den>
          </m:f>
        </m:oMath>
      </m:oMathPara>
    </w:p>
    <w:p w:rsidR="008B7700" w:rsidRDefault="008B7700" w:rsidP="005D0DE4">
      <w:pPr>
        <w:jc w:val="both"/>
        <w:rPr>
          <w:sz w:val="20"/>
          <w:szCs w:val="20"/>
        </w:rPr>
      </w:pPr>
      <w:r>
        <w:rPr>
          <w:sz w:val="20"/>
          <w:szCs w:val="20"/>
        </w:rPr>
        <w:t xml:space="preserve">This brings us the a process emissions of 1.229 </w:t>
      </w:r>
      <w:r w:rsidRPr="008B7700">
        <w:rPr>
          <w:sz w:val="20"/>
          <w:szCs w:val="20"/>
        </w:rPr>
        <w:t>CO</w:t>
      </w:r>
      <w:r w:rsidRPr="008B7700">
        <w:rPr>
          <w:sz w:val="20"/>
          <w:szCs w:val="20"/>
          <w:vertAlign w:val="subscript"/>
        </w:rPr>
        <w:t>2</w:t>
      </w:r>
      <w:r w:rsidRPr="008B7700">
        <w:rPr>
          <w:sz w:val="20"/>
          <w:szCs w:val="20"/>
        </w:rPr>
        <w:t xml:space="preserve"> per kg</w:t>
      </w:r>
      <w:r>
        <w:rPr>
          <w:sz w:val="20"/>
          <w:szCs w:val="20"/>
        </w:rPr>
        <w:t xml:space="preserve"> produced</w:t>
      </w:r>
      <w:r>
        <w:rPr>
          <w:sz w:val="20"/>
          <w:szCs w:val="20"/>
        </w:rPr>
        <w:t xml:space="preserve"> </w:t>
      </w:r>
      <w:proofErr w:type="spellStart"/>
      <w:r>
        <w:rPr>
          <w:sz w:val="20"/>
          <w:szCs w:val="20"/>
        </w:rPr>
        <w:t>StyGreen</w:t>
      </w:r>
      <w:proofErr w:type="spellEnd"/>
      <w:r>
        <w:rPr>
          <w:sz w:val="20"/>
          <w:szCs w:val="20"/>
        </w:rPr>
        <w:t>. If our genetically engineered yeast had a 100% conversion rate</w:t>
      </w:r>
      <w:r w:rsidR="00BA0220">
        <w:rPr>
          <w:sz w:val="20"/>
          <w:szCs w:val="20"/>
        </w:rPr>
        <w:t xml:space="preserve">, we would need 10 kilograms of recycled toilet paper to produce 1 kg of </w:t>
      </w:r>
      <w:proofErr w:type="spellStart"/>
      <w:r w:rsidR="00BA0220">
        <w:rPr>
          <w:sz w:val="20"/>
          <w:szCs w:val="20"/>
        </w:rPr>
        <w:t>StyGreen</w:t>
      </w:r>
      <w:proofErr w:type="spellEnd"/>
      <w:r w:rsidR="00BA0220">
        <w:rPr>
          <w:sz w:val="20"/>
          <w:szCs w:val="20"/>
        </w:rPr>
        <w:t xml:space="preserve"> (based</w:t>
      </w:r>
      <w:r>
        <w:rPr>
          <w:sz w:val="20"/>
          <w:szCs w:val="20"/>
        </w:rPr>
        <w:t xml:space="preserve"> o</w:t>
      </w:r>
      <w:r w:rsidR="00BA0220">
        <w:rPr>
          <w:sz w:val="20"/>
          <w:szCs w:val="20"/>
        </w:rPr>
        <w:t xml:space="preserve">n the theoretical maximum yield). Which would mean that the carbon footprint of our </w:t>
      </w:r>
      <w:proofErr w:type="spellStart"/>
      <w:r w:rsidR="00BA0220">
        <w:rPr>
          <w:sz w:val="20"/>
          <w:szCs w:val="20"/>
        </w:rPr>
        <w:t>StyGreen</w:t>
      </w:r>
      <w:proofErr w:type="spellEnd"/>
      <w:r w:rsidR="00BA0220">
        <w:rPr>
          <w:sz w:val="20"/>
          <w:szCs w:val="20"/>
        </w:rPr>
        <w:t xml:space="preserve"> would be 2.129 </w:t>
      </w:r>
      <w:r w:rsidR="00BA0220" w:rsidRPr="008B7700">
        <w:rPr>
          <w:sz w:val="20"/>
          <w:szCs w:val="20"/>
        </w:rPr>
        <w:t>CO</w:t>
      </w:r>
      <w:r w:rsidR="00BA0220" w:rsidRPr="008B7700">
        <w:rPr>
          <w:sz w:val="20"/>
          <w:szCs w:val="20"/>
          <w:vertAlign w:val="subscript"/>
        </w:rPr>
        <w:t>2</w:t>
      </w:r>
      <w:r w:rsidR="00BA0220">
        <w:rPr>
          <w:sz w:val="20"/>
          <w:szCs w:val="20"/>
        </w:rPr>
        <w:t xml:space="preserve">-eq </w:t>
      </w:r>
      <w:r w:rsidR="00BA0220" w:rsidRPr="008B7700">
        <w:rPr>
          <w:sz w:val="20"/>
          <w:szCs w:val="20"/>
        </w:rPr>
        <w:t>per kg</w:t>
      </w:r>
      <w:r w:rsidR="00BA0220">
        <w:rPr>
          <w:sz w:val="20"/>
          <w:szCs w:val="20"/>
        </w:rPr>
        <w:t xml:space="preserve">. </w:t>
      </w:r>
    </w:p>
    <w:p w:rsidR="00DC7D99" w:rsidRDefault="00536E3A" w:rsidP="005D0DE4">
      <w:pPr>
        <w:spacing w:after="200" w:line="240" w:lineRule="auto"/>
        <w:jc w:val="both"/>
        <w:rPr>
          <w:sz w:val="20"/>
          <w:szCs w:val="20"/>
        </w:rPr>
      </w:pPr>
      <w:r>
        <w:rPr>
          <w:i/>
          <w:color w:val="44546A"/>
          <w:sz w:val="18"/>
          <w:szCs w:val="18"/>
        </w:rPr>
        <w:t xml:space="preserve">Table 2. The predicted process emissions of producing </w:t>
      </w:r>
      <w:proofErr w:type="spellStart"/>
      <w:r>
        <w:rPr>
          <w:i/>
          <w:color w:val="44546A"/>
          <w:sz w:val="18"/>
          <w:szCs w:val="18"/>
        </w:rPr>
        <w:t>StyGreen</w:t>
      </w:r>
      <w:proofErr w:type="spellEnd"/>
      <w:r>
        <w:rPr>
          <w:i/>
          <w:color w:val="44546A"/>
          <w:sz w:val="18"/>
          <w:szCs w:val="18"/>
        </w:rPr>
        <w:t xml:space="preserve"> in our bioreactor</w:t>
      </w:r>
      <w:r w:rsidR="009A7CA2">
        <w:rPr>
          <w:rStyle w:val="Voetnootmarkering"/>
          <w:i/>
          <w:color w:val="44546A"/>
          <w:sz w:val="18"/>
          <w:szCs w:val="18"/>
        </w:rPr>
        <w:footnoteReference w:id="3"/>
      </w:r>
      <w:r>
        <w:rPr>
          <w:i/>
          <w:color w:val="44546A"/>
          <w:sz w:val="18"/>
          <w:szCs w:val="18"/>
        </w:rPr>
        <w:t xml:space="preserve">. </w:t>
      </w:r>
    </w:p>
    <w:tbl>
      <w:tblPr>
        <w:tblStyle w:val="a0"/>
        <w:tblW w:w="685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7"/>
        <w:gridCol w:w="2596"/>
        <w:gridCol w:w="2050"/>
      </w:tblGrid>
      <w:tr w:rsidR="00DC7D99" w:rsidTr="008B7700">
        <w:trPr>
          <w:trHeight w:val="315"/>
        </w:trPr>
        <w:tc>
          <w:tcPr>
            <w:tcW w:w="4803" w:type="dxa"/>
            <w:gridSpan w:val="2"/>
            <w:tcBorders>
              <w:top w:val="single" w:sz="8" w:space="0" w:color="C5E0B3"/>
              <w:left w:val="single" w:sz="8" w:space="0" w:color="C5E0B3"/>
              <w:bottom w:val="single" w:sz="12" w:space="0" w:color="A8D08D"/>
              <w:right w:val="single" w:sz="8" w:space="0" w:color="C5E0B3"/>
            </w:tcBorders>
            <w:tcMar>
              <w:top w:w="100" w:type="dxa"/>
              <w:left w:w="100" w:type="dxa"/>
              <w:bottom w:w="100" w:type="dxa"/>
              <w:right w:w="100" w:type="dxa"/>
            </w:tcMar>
          </w:tcPr>
          <w:p w:rsidR="00DC7D99" w:rsidRDefault="00536E3A" w:rsidP="005D0DE4">
            <w:pPr>
              <w:spacing w:after="0" w:line="276" w:lineRule="auto"/>
              <w:jc w:val="both"/>
              <w:rPr>
                <w:b/>
                <w:sz w:val="20"/>
                <w:szCs w:val="20"/>
              </w:rPr>
            </w:pPr>
            <w:r>
              <w:rPr>
                <w:b/>
                <w:sz w:val="20"/>
                <w:szCs w:val="20"/>
              </w:rPr>
              <w:t>Process assumptions</w:t>
            </w:r>
          </w:p>
        </w:tc>
        <w:tc>
          <w:tcPr>
            <w:tcW w:w="2050" w:type="dxa"/>
            <w:tcBorders>
              <w:top w:val="single" w:sz="8" w:space="0" w:color="C5E0B3"/>
              <w:left w:val="nil"/>
              <w:bottom w:val="single" w:sz="12" w:space="0" w:color="A8D08D"/>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both"/>
              <w:rPr>
                <w:b/>
                <w:sz w:val="20"/>
                <w:szCs w:val="20"/>
              </w:rPr>
            </w:pPr>
            <w:r>
              <w:rPr>
                <w:b/>
                <w:sz w:val="20"/>
                <w:szCs w:val="20"/>
              </w:rPr>
              <w:t xml:space="preserve"> </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(a)</w:t>
            </w:r>
            <w:r w:rsidR="00536E3A">
              <w:rPr>
                <w:i/>
                <w:sz w:val="20"/>
                <w:szCs w:val="20"/>
              </w:rPr>
              <w:t>Size of our bioreactor (in liters)</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500</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(b)</w:t>
            </w:r>
            <w:r w:rsidR="00536E3A">
              <w:rPr>
                <w:i/>
                <w:sz w:val="20"/>
                <w:szCs w:val="20"/>
              </w:rPr>
              <w:t>Heating of water (per degree per 1000 liter/MJ)</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4.19</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(c) </w:t>
            </w:r>
            <w:r w:rsidR="00536E3A">
              <w:rPr>
                <w:i/>
                <w:sz w:val="20"/>
                <w:szCs w:val="20"/>
              </w:rPr>
              <w:t>Temperature in bioreactor (in degrees Celsius)</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30</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(d) </w:t>
            </w:r>
            <w:r w:rsidR="00536E3A">
              <w:rPr>
                <w:i/>
                <w:sz w:val="20"/>
                <w:szCs w:val="20"/>
              </w:rPr>
              <w:t>Ambient temperature (in degrees Celsius)</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10</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(e) </w:t>
            </w:r>
            <w:r w:rsidR="00536E3A">
              <w:rPr>
                <w:i/>
                <w:sz w:val="20"/>
                <w:szCs w:val="20"/>
              </w:rPr>
              <w:t>Contribution exothermic reaction</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10</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(f) </w:t>
            </w:r>
            <w:r w:rsidR="00536E3A">
              <w:rPr>
                <w:i/>
                <w:sz w:val="20"/>
                <w:szCs w:val="20"/>
              </w:rPr>
              <w:t>Heat loss (per 24 hour per degree in MJ)</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0.03</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(g)</w:t>
            </w:r>
            <w:r w:rsidR="008B7700">
              <w:rPr>
                <w:i/>
                <w:sz w:val="20"/>
                <w:szCs w:val="20"/>
              </w:rPr>
              <w:t xml:space="preserve"> </w:t>
            </w:r>
            <w:r w:rsidR="00536E3A">
              <w:rPr>
                <w:i/>
                <w:sz w:val="20"/>
                <w:szCs w:val="20"/>
              </w:rPr>
              <w:t>Calorific value of natural gas (m3)</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32</w:t>
            </w:r>
          </w:p>
        </w:tc>
      </w:tr>
      <w:tr w:rsidR="00DC7D99" w:rsidTr="008B7700">
        <w:trPr>
          <w:trHeight w:val="343"/>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(h) </w:t>
            </w:r>
            <w:r w:rsidR="00536E3A">
              <w:rPr>
                <w:i/>
                <w:sz w:val="20"/>
                <w:szCs w:val="20"/>
              </w:rPr>
              <w:t>Natural gas (CO</w:t>
            </w:r>
            <w:r w:rsidR="00536E3A">
              <w:rPr>
                <w:i/>
                <w:sz w:val="20"/>
                <w:szCs w:val="20"/>
                <w:vertAlign w:val="subscript"/>
              </w:rPr>
              <w:t>2</w:t>
            </w:r>
            <w:r w:rsidR="00536E3A">
              <w:rPr>
                <w:i/>
                <w:sz w:val="20"/>
                <w:szCs w:val="20"/>
              </w:rPr>
              <w:t>/m</w:t>
            </w:r>
            <w:r w:rsidR="00536E3A">
              <w:rPr>
                <w:i/>
                <w:sz w:val="20"/>
                <w:szCs w:val="20"/>
                <w:vertAlign w:val="superscript"/>
              </w:rPr>
              <w:t>3</w:t>
            </w:r>
            <w:r w:rsidR="00536E3A">
              <w:rPr>
                <w:i/>
                <w:sz w:val="20"/>
                <w:szCs w:val="20"/>
              </w:rPr>
              <w:t xml:space="preserve">) </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1.8</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Pr="009A7CA2" w:rsidRDefault="009A7CA2" w:rsidP="005D0DE4">
            <w:pPr>
              <w:spacing w:after="0" w:line="276" w:lineRule="auto"/>
              <w:jc w:val="both"/>
              <w:rPr>
                <w:i/>
                <w:sz w:val="20"/>
                <w:szCs w:val="20"/>
              </w:rPr>
            </w:pPr>
            <w:r>
              <w:rPr>
                <w:i/>
                <w:sz w:val="20"/>
                <w:szCs w:val="20"/>
              </w:rPr>
              <w:t>(</w:t>
            </w:r>
            <w:proofErr w:type="spellStart"/>
            <w:r>
              <w:rPr>
                <w:i/>
                <w:sz w:val="20"/>
                <w:szCs w:val="20"/>
              </w:rPr>
              <w:t>i</w:t>
            </w:r>
            <w:proofErr w:type="spellEnd"/>
            <w:r>
              <w:rPr>
                <w:i/>
                <w:sz w:val="20"/>
                <w:szCs w:val="20"/>
              </w:rPr>
              <w:t xml:space="preserve">) </w:t>
            </w:r>
            <w:r w:rsidR="00536E3A" w:rsidRPr="009A7CA2">
              <w:rPr>
                <w:i/>
                <w:sz w:val="20"/>
                <w:szCs w:val="20"/>
              </w:rPr>
              <w:t>Process time in bioreactor (in days)</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3</w:t>
            </w:r>
          </w:p>
        </w:tc>
      </w:tr>
      <w:tr w:rsidR="00DC7D99" w:rsidTr="008B7700">
        <w:trPr>
          <w:trHeight w:val="302"/>
        </w:trPr>
        <w:tc>
          <w:tcPr>
            <w:tcW w:w="4803" w:type="dxa"/>
            <w:gridSpan w:val="2"/>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9A7CA2" w:rsidP="005D0DE4">
            <w:pPr>
              <w:spacing w:after="0" w:line="276" w:lineRule="auto"/>
              <w:jc w:val="both"/>
              <w:rPr>
                <w:i/>
                <w:sz w:val="20"/>
                <w:szCs w:val="20"/>
              </w:rPr>
            </w:pPr>
            <w:r>
              <w:rPr>
                <w:i/>
                <w:sz w:val="20"/>
                <w:szCs w:val="20"/>
              </w:rPr>
              <w:t xml:space="preserve">(j) </w:t>
            </w:r>
            <w:r w:rsidR="00536E3A">
              <w:rPr>
                <w:i/>
                <w:sz w:val="20"/>
                <w:szCs w:val="20"/>
              </w:rPr>
              <w:t>KG Styrene per bioreactor</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sz w:val="20"/>
                <w:szCs w:val="20"/>
              </w:rPr>
            </w:pPr>
            <w:r>
              <w:rPr>
                <w:sz w:val="20"/>
                <w:szCs w:val="20"/>
              </w:rPr>
              <w:t>1</w:t>
            </w:r>
          </w:p>
        </w:tc>
      </w:tr>
      <w:tr w:rsidR="00DC7D99" w:rsidTr="008B7700">
        <w:trPr>
          <w:trHeight w:val="302"/>
        </w:trPr>
        <w:tc>
          <w:tcPr>
            <w:tcW w:w="2207" w:type="dxa"/>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DC7D99" w:rsidP="005D0DE4">
            <w:pPr>
              <w:jc w:val="both"/>
              <w:rPr>
                <w:sz w:val="20"/>
                <w:szCs w:val="20"/>
              </w:rPr>
            </w:pPr>
          </w:p>
        </w:tc>
        <w:tc>
          <w:tcPr>
            <w:tcW w:w="2596"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both"/>
              <w:rPr>
                <w:b/>
                <w:sz w:val="20"/>
                <w:szCs w:val="20"/>
              </w:rPr>
            </w:pPr>
            <w:r>
              <w:rPr>
                <w:b/>
                <w:sz w:val="20"/>
                <w:szCs w:val="20"/>
              </w:rPr>
              <w:t>Energy requirements (MJ)</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b/>
                <w:sz w:val="20"/>
                <w:szCs w:val="20"/>
              </w:rPr>
            </w:pPr>
            <w:r>
              <w:rPr>
                <w:b/>
                <w:sz w:val="20"/>
                <w:szCs w:val="20"/>
              </w:rPr>
              <w:t>21.85</w:t>
            </w:r>
          </w:p>
        </w:tc>
      </w:tr>
      <w:tr w:rsidR="00DC7D99" w:rsidTr="008B7700">
        <w:trPr>
          <w:trHeight w:val="315"/>
        </w:trPr>
        <w:tc>
          <w:tcPr>
            <w:tcW w:w="2207" w:type="dxa"/>
            <w:tcBorders>
              <w:top w:val="nil"/>
              <w:left w:val="single" w:sz="8" w:space="0" w:color="C5E0B3"/>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both"/>
              <w:rPr>
                <w:b/>
                <w:sz w:val="20"/>
                <w:szCs w:val="20"/>
              </w:rPr>
            </w:pPr>
            <w:bookmarkStart w:id="0" w:name="_Hlk527563236"/>
            <w:r>
              <w:rPr>
                <w:b/>
                <w:sz w:val="20"/>
                <w:szCs w:val="20"/>
              </w:rPr>
              <w:t xml:space="preserve"> </w:t>
            </w:r>
          </w:p>
        </w:tc>
        <w:tc>
          <w:tcPr>
            <w:tcW w:w="2596"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both"/>
              <w:rPr>
                <w:b/>
                <w:sz w:val="20"/>
                <w:szCs w:val="20"/>
              </w:rPr>
            </w:pPr>
            <w:r>
              <w:rPr>
                <w:b/>
                <w:sz w:val="20"/>
                <w:szCs w:val="20"/>
              </w:rPr>
              <w:t>Process emissions (CO</w:t>
            </w:r>
            <w:r>
              <w:rPr>
                <w:b/>
                <w:sz w:val="20"/>
                <w:szCs w:val="20"/>
                <w:vertAlign w:val="subscript"/>
              </w:rPr>
              <w:t xml:space="preserve">2 </w:t>
            </w:r>
            <w:r>
              <w:rPr>
                <w:b/>
                <w:sz w:val="20"/>
                <w:szCs w:val="20"/>
              </w:rPr>
              <w:t>per kg)</w:t>
            </w:r>
          </w:p>
        </w:tc>
        <w:tc>
          <w:tcPr>
            <w:tcW w:w="2050" w:type="dxa"/>
            <w:tcBorders>
              <w:top w:val="nil"/>
              <w:left w:val="nil"/>
              <w:bottom w:val="single" w:sz="8" w:space="0" w:color="C5E0B3"/>
              <w:right w:val="single" w:sz="8" w:space="0" w:color="C5E0B3"/>
            </w:tcBorders>
            <w:shd w:val="clear" w:color="auto" w:fill="auto"/>
            <w:tcMar>
              <w:top w:w="100" w:type="dxa"/>
              <w:left w:w="100" w:type="dxa"/>
              <w:bottom w:w="100" w:type="dxa"/>
              <w:right w:w="100" w:type="dxa"/>
            </w:tcMar>
          </w:tcPr>
          <w:p w:rsidR="00DC7D99" w:rsidRDefault="00536E3A" w:rsidP="005D0DE4">
            <w:pPr>
              <w:spacing w:after="0" w:line="276" w:lineRule="auto"/>
              <w:jc w:val="right"/>
              <w:rPr>
                <w:b/>
                <w:sz w:val="20"/>
                <w:szCs w:val="20"/>
              </w:rPr>
            </w:pPr>
            <w:r>
              <w:rPr>
                <w:b/>
                <w:sz w:val="20"/>
                <w:szCs w:val="20"/>
              </w:rPr>
              <w:t>1.229</w:t>
            </w:r>
          </w:p>
        </w:tc>
      </w:tr>
      <w:bookmarkEnd w:id="0"/>
    </w:tbl>
    <w:p w:rsidR="00DC7D99" w:rsidRDefault="00DC7D99" w:rsidP="005D0DE4">
      <w:pPr>
        <w:jc w:val="both"/>
        <w:rPr>
          <w:sz w:val="20"/>
          <w:szCs w:val="20"/>
        </w:rPr>
      </w:pPr>
    </w:p>
    <w:p w:rsidR="00DC7D99" w:rsidRDefault="00536E3A" w:rsidP="005D0DE4">
      <w:pPr>
        <w:jc w:val="both"/>
        <w:rPr>
          <w:color w:val="000000"/>
          <w:sz w:val="20"/>
          <w:szCs w:val="20"/>
        </w:rPr>
      </w:pPr>
      <w:r>
        <w:rPr>
          <w:sz w:val="20"/>
          <w:szCs w:val="20"/>
        </w:rPr>
        <w:lastRenderedPageBreak/>
        <w:t>This is a lot better than 7.8</w:t>
      </w:r>
      <w:r w:rsidR="00BA0220">
        <w:rPr>
          <w:sz w:val="20"/>
          <w:szCs w:val="20"/>
        </w:rPr>
        <w:t xml:space="preserve"> </w:t>
      </w:r>
      <w:r w:rsidR="00BA0220" w:rsidRPr="008B7700">
        <w:rPr>
          <w:sz w:val="20"/>
          <w:szCs w:val="20"/>
        </w:rPr>
        <w:t>CO</w:t>
      </w:r>
      <w:r w:rsidR="00BA0220" w:rsidRPr="008B7700">
        <w:rPr>
          <w:sz w:val="20"/>
          <w:szCs w:val="20"/>
          <w:vertAlign w:val="subscript"/>
        </w:rPr>
        <w:t>2</w:t>
      </w:r>
      <w:r w:rsidR="00BA0220">
        <w:rPr>
          <w:sz w:val="20"/>
          <w:szCs w:val="20"/>
        </w:rPr>
        <w:t xml:space="preserve">-eq </w:t>
      </w:r>
      <w:r w:rsidR="00BA0220" w:rsidRPr="008B7700">
        <w:rPr>
          <w:sz w:val="20"/>
          <w:szCs w:val="20"/>
        </w:rPr>
        <w:t>per kg</w:t>
      </w:r>
      <w:r w:rsidR="00BA0220">
        <w:rPr>
          <w:sz w:val="20"/>
          <w:szCs w:val="20"/>
        </w:rPr>
        <w:t xml:space="preserve"> for petroleum-based styrene. However, at this point in time </w:t>
      </w:r>
      <w:r>
        <w:rPr>
          <w:sz w:val="20"/>
          <w:szCs w:val="20"/>
        </w:rPr>
        <w:t>our</w:t>
      </w:r>
      <w:r w:rsidR="00BA0220">
        <w:rPr>
          <w:sz w:val="20"/>
          <w:szCs w:val="20"/>
        </w:rPr>
        <w:t xml:space="preserve"> conversion are not yet</w:t>
      </w:r>
      <w:r>
        <w:rPr>
          <w:sz w:val="20"/>
          <w:szCs w:val="20"/>
        </w:rPr>
        <w:t xml:space="preserve"> 100%. For each kilo of styrene</w:t>
      </w:r>
      <w:r w:rsidR="00BA0220">
        <w:rPr>
          <w:sz w:val="20"/>
          <w:szCs w:val="20"/>
        </w:rPr>
        <w:t xml:space="preserve"> we produce</w:t>
      </w:r>
      <w:r>
        <w:rPr>
          <w:sz w:val="20"/>
          <w:szCs w:val="20"/>
        </w:rPr>
        <w:t xml:space="preserve">, we need </w:t>
      </w:r>
      <w:r>
        <w:rPr>
          <w:sz w:val="20"/>
          <w:szCs w:val="20"/>
        </w:rPr>
        <w:t>263 kilo</w:t>
      </w:r>
      <w:r w:rsidR="00BA0220">
        <w:rPr>
          <w:sz w:val="20"/>
          <w:szCs w:val="20"/>
        </w:rPr>
        <w:t>grams</w:t>
      </w:r>
      <w:r>
        <w:rPr>
          <w:sz w:val="20"/>
          <w:szCs w:val="20"/>
        </w:rPr>
        <w:t xml:space="preserve"> of cellulose</w:t>
      </w:r>
      <w:r w:rsidR="00BA0220">
        <w:rPr>
          <w:sz w:val="20"/>
          <w:szCs w:val="20"/>
        </w:rPr>
        <w:t xml:space="preserve"> (recycled toilet paper) right now</w:t>
      </w:r>
      <w:r>
        <w:rPr>
          <w:sz w:val="20"/>
          <w:szCs w:val="20"/>
        </w:rPr>
        <w:t xml:space="preserve"> [</w:t>
      </w:r>
      <w:r w:rsidRPr="00BA0220">
        <w:rPr>
          <w:color w:val="FF0000"/>
          <w:sz w:val="20"/>
          <w:szCs w:val="20"/>
        </w:rPr>
        <w:t>link flux model</w:t>
      </w:r>
      <w:r>
        <w:rPr>
          <w:sz w:val="20"/>
          <w:szCs w:val="20"/>
        </w:rPr>
        <w:t xml:space="preserve">]. This would result in </w:t>
      </w:r>
      <w:r w:rsidR="00BA0220" w:rsidRPr="00BA0220">
        <w:rPr>
          <w:sz w:val="20"/>
          <w:szCs w:val="20"/>
        </w:rPr>
        <w:t>24.89</w:t>
      </w:r>
      <w:r w:rsidR="00BA0220">
        <w:rPr>
          <w:sz w:val="20"/>
          <w:szCs w:val="20"/>
        </w:rPr>
        <w:t xml:space="preserve"> </w:t>
      </w:r>
      <w:r w:rsidR="00BA0220" w:rsidRPr="008B7700">
        <w:rPr>
          <w:sz w:val="20"/>
          <w:szCs w:val="20"/>
        </w:rPr>
        <w:t>CO</w:t>
      </w:r>
      <w:r w:rsidR="00BA0220" w:rsidRPr="008B7700">
        <w:rPr>
          <w:sz w:val="20"/>
          <w:szCs w:val="20"/>
          <w:vertAlign w:val="subscript"/>
        </w:rPr>
        <w:t>2</w:t>
      </w:r>
      <w:r w:rsidR="00BA0220">
        <w:rPr>
          <w:sz w:val="20"/>
          <w:szCs w:val="20"/>
        </w:rPr>
        <w:t xml:space="preserve">-eq </w:t>
      </w:r>
      <w:r w:rsidR="00BA0220" w:rsidRPr="008B7700">
        <w:rPr>
          <w:sz w:val="20"/>
          <w:szCs w:val="20"/>
        </w:rPr>
        <w:t>per kg</w:t>
      </w:r>
      <w:r>
        <w:rPr>
          <w:sz w:val="20"/>
          <w:szCs w:val="20"/>
        </w:rPr>
        <w:t xml:space="preserve">, which is way worse than </w:t>
      </w:r>
      <w:r w:rsidR="00BA0220">
        <w:rPr>
          <w:sz w:val="20"/>
          <w:szCs w:val="20"/>
        </w:rPr>
        <w:t>regular (petroleum-based)</w:t>
      </w:r>
      <w:r>
        <w:rPr>
          <w:sz w:val="20"/>
          <w:szCs w:val="20"/>
        </w:rPr>
        <w:t xml:space="preserve"> styrene.</w:t>
      </w:r>
      <w:r w:rsidR="005D0DE4">
        <w:rPr>
          <w:sz w:val="20"/>
          <w:szCs w:val="20"/>
        </w:rPr>
        <w:t xml:space="preserve"> This partly due to the assumptions made in the flux model, which assumes that yeast needs have a net biomass gain at all times. While, that is not necessary in our bioreactor. Moreover, the first version of our yeast is just a proof of concept. There are still a lot of parts that can be optimized. Both in the yeast strain itself, in the form of knock-outs, and in the bioreactor, by reducing the process emissions. </w:t>
      </w:r>
      <w:bookmarkStart w:id="1" w:name="_GoBack"/>
      <w:bookmarkEnd w:id="1"/>
      <w:r w:rsidR="005D0DE4">
        <w:rPr>
          <w:sz w:val="20"/>
          <w:szCs w:val="20"/>
        </w:rPr>
        <w:t xml:space="preserve"> </w:t>
      </w:r>
    </w:p>
    <w:p w:rsidR="00DC7D99" w:rsidRDefault="00536E3A">
      <w:pPr>
        <w:pStyle w:val="Kop2"/>
      </w:pPr>
      <w:r>
        <w:t>C</w:t>
      </w:r>
      <w:r>
        <w:t>onclusions</w:t>
      </w:r>
    </w:p>
    <w:p w:rsidR="00DC7D99" w:rsidRDefault="00536E3A">
      <w:pPr>
        <w:numPr>
          <w:ilvl w:val="0"/>
          <w:numId w:val="1"/>
        </w:numPr>
        <w:pBdr>
          <w:top w:val="nil"/>
          <w:left w:val="nil"/>
          <w:bottom w:val="nil"/>
          <w:right w:val="nil"/>
          <w:between w:val="nil"/>
        </w:pBdr>
        <w:spacing w:after="0"/>
        <w:contextualSpacing/>
        <w:jc w:val="both"/>
        <w:rPr>
          <w:color w:val="000000"/>
          <w:sz w:val="20"/>
          <w:szCs w:val="20"/>
        </w:rPr>
      </w:pPr>
      <w:r>
        <w:rPr>
          <w:color w:val="000000"/>
          <w:sz w:val="20"/>
          <w:szCs w:val="20"/>
        </w:rPr>
        <w:t xml:space="preserve">Toilet paper waste is used as the primary raw material in the biorefinery to produce styrene. </w:t>
      </w:r>
    </w:p>
    <w:p w:rsidR="00DC7D99" w:rsidRDefault="00536E3A">
      <w:pPr>
        <w:numPr>
          <w:ilvl w:val="1"/>
          <w:numId w:val="1"/>
        </w:numPr>
        <w:pBdr>
          <w:top w:val="nil"/>
          <w:left w:val="nil"/>
          <w:bottom w:val="nil"/>
          <w:right w:val="nil"/>
          <w:between w:val="nil"/>
        </w:pBdr>
        <w:spacing w:after="0"/>
        <w:contextualSpacing/>
        <w:jc w:val="both"/>
        <w:rPr>
          <w:color w:val="000000"/>
          <w:sz w:val="20"/>
          <w:szCs w:val="20"/>
        </w:rPr>
      </w:pPr>
      <w:r>
        <w:rPr>
          <w:color w:val="000000"/>
          <w:sz w:val="20"/>
          <w:szCs w:val="20"/>
        </w:rPr>
        <w:t>A feedstock that is not used for feeding humans</w:t>
      </w:r>
    </w:p>
    <w:p w:rsidR="00DC7D99" w:rsidRDefault="00536E3A">
      <w:pPr>
        <w:numPr>
          <w:ilvl w:val="1"/>
          <w:numId w:val="1"/>
        </w:numPr>
        <w:pBdr>
          <w:top w:val="nil"/>
          <w:left w:val="nil"/>
          <w:bottom w:val="nil"/>
          <w:right w:val="nil"/>
          <w:between w:val="nil"/>
        </w:pBdr>
        <w:spacing w:after="0"/>
        <w:contextualSpacing/>
        <w:jc w:val="both"/>
        <w:rPr>
          <w:color w:val="000000"/>
          <w:sz w:val="20"/>
          <w:szCs w:val="20"/>
        </w:rPr>
      </w:pPr>
      <w:r>
        <w:rPr>
          <w:color w:val="000000"/>
          <w:sz w:val="20"/>
          <w:szCs w:val="20"/>
        </w:rPr>
        <w:t xml:space="preserve">To which we are able to add value </w:t>
      </w:r>
    </w:p>
    <w:p w:rsidR="00DC7D99" w:rsidRDefault="00536E3A">
      <w:pPr>
        <w:numPr>
          <w:ilvl w:val="0"/>
          <w:numId w:val="1"/>
        </w:numPr>
        <w:pBdr>
          <w:top w:val="nil"/>
          <w:left w:val="nil"/>
          <w:bottom w:val="nil"/>
          <w:right w:val="nil"/>
          <w:between w:val="nil"/>
        </w:pBdr>
        <w:spacing w:after="0"/>
        <w:contextualSpacing/>
        <w:jc w:val="both"/>
        <w:rPr>
          <w:color w:val="000000"/>
          <w:sz w:val="20"/>
          <w:szCs w:val="20"/>
        </w:rPr>
      </w:pPr>
      <w:r>
        <w:rPr>
          <w:color w:val="000000"/>
          <w:sz w:val="20"/>
          <w:szCs w:val="20"/>
        </w:rPr>
        <w:t>Currently the process is not sustainable (based on flux model, with mass balance of 263 : 1)</w:t>
      </w:r>
    </w:p>
    <w:p w:rsidR="00DC7D99" w:rsidRDefault="00536E3A">
      <w:pPr>
        <w:numPr>
          <w:ilvl w:val="0"/>
          <w:numId w:val="1"/>
        </w:numPr>
        <w:pBdr>
          <w:top w:val="nil"/>
          <w:left w:val="nil"/>
          <w:bottom w:val="nil"/>
          <w:right w:val="nil"/>
          <w:between w:val="nil"/>
        </w:pBdr>
        <w:spacing w:after="0"/>
        <w:contextualSpacing/>
        <w:jc w:val="both"/>
        <w:rPr>
          <w:color w:val="000000"/>
          <w:sz w:val="20"/>
          <w:szCs w:val="20"/>
        </w:rPr>
      </w:pPr>
      <w:r>
        <w:rPr>
          <w:color w:val="000000"/>
          <w:sz w:val="20"/>
          <w:szCs w:val="20"/>
        </w:rPr>
        <w:t xml:space="preserve">We could still optimize our process a lot, so we should be able to decrease the </w:t>
      </w:r>
      <w:r>
        <w:rPr>
          <w:color w:val="000000"/>
          <w:sz w:val="20"/>
          <w:szCs w:val="20"/>
        </w:rPr>
        <w:t>mass balance by a lot. And starting from a mass balance of 33 : 1 we are cleaner than petroleum-based styrene</w:t>
      </w:r>
    </w:p>
    <w:p w:rsidR="00DC7D99" w:rsidRDefault="00536E3A">
      <w:pPr>
        <w:numPr>
          <w:ilvl w:val="0"/>
          <w:numId w:val="1"/>
        </w:numPr>
        <w:pBdr>
          <w:top w:val="nil"/>
          <w:left w:val="nil"/>
          <w:bottom w:val="nil"/>
          <w:right w:val="nil"/>
          <w:between w:val="nil"/>
        </w:pBdr>
        <w:contextualSpacing/>
        <w:jc w:val="both"/>
        <w:rPr>
          <w:color w:val="000000"/>
          <w:sz w:val="20"/>
          <w:szCs w:val="20"/>
        </w:rPr>
      </w:pPr>
      <w:bookmarkStart w:id="2" w:name="_gjdgxs" w:colFirst="0" w:colLast="0"/>
      <w:bookmarkEnd w:id="2"/>
      <w:r>
        <w:rPr>
          <w:color w:val="000000"/>
          <w:sz w:val="20"/>
          <w:szCs w:val="20"/>
        </w:rPr>
        <w:t>We can also improve the process emissions, lower process emissions means our mass balance can be higher (at the moment the process emissions are m</w:t>
      </w:r>
      <w:r>
        <w:rPr>
          <w:color w:val="000000"/>
          <w:sz w:val="20"/>
          <w:szCs w:val="20"/>
        </w:rPr>
        <w:t xml:space="preserve">ore than 28% of the total emissions of petroleum-based styrene). </w:t>
      </w:r>
    </w:p>
    <w:p w:rsidR="00DC7D99" w:rsidRDefault="00536E3A">
      <w:pPr>
        <w:pStyle w:val="Kop2"/>
      </w:pPr>
      <w:r>
        <w:t xml:space="preserve">References </w:t>
      </w:r>
    </w:p>
    <w:p w:rsidR="00DC7D99" w:rsidRPr="009A7CA2" w:rsidRDefault="00536E3A">
      <w:pPr>
        <w:widowControl w:val="0"/>
        <w:spacing w:line="240" w:lineRule="auto"/>
        <w:ind w:left="480" w:hanging="480"/>
        <w:rPr>
          <w:sz w:val="20"/>
          <w:szCs w:val="20"/>
          <w:lang w:val="nl-NL"/>
        </w:rPr>
      </w:pPr>
      <w:proofErr w:type="spellStart"/>
      <w:r>
        <w:rPr>
          <w:sz w:val="20"/>
          <w:szCs w:val="20"/>
        </w:rPr>
        <w:t>Boonniteewanich</w:t>
      </w:r>
      <w:proofErr w:type="spellEnd"/>
      <w:r>
        <w:rPr>
          <w:sz w:val="20"/>
          <w:szCs w:val="20"/>
        </w:rPr>
        <w:t xml:space="preserve">, J., </w:t>
      </w:r>
      <w:proofErr w:type="spellStart"/>
      <w:r>
        <w:rPr>
          <w:sz w:val="20"/>
          <w:szCs w:val="20"/>
        </w:rPr>
        <w:t>Pitivut</w:t>
      </w:r>
      <w:proofErr w:type="spellEnd"/>
      <w:r>
        <w:rPr>
          <w:sz w:val="20"/>
          <w:szCs w:val="20"/>
        </w:rPr>
        <w:t xml:space="preserve">, S., </w:t>
      </w:r>
      <w:proofErr w:type="spellStart"/>
      <w:r>
        <w:rPr>
          <w:sz w:val="20"/>
          <w:szCs w:val="20"/>
        </w:rPr>
        <w:t>Tongjoy</w:t>
      </w:r>
      <w:proofErr w:type="spellEnd"/>
      <w:r>
        <w:rPr>
          <w:sz w:val="20"/>
          <w:szCs w:val="20"/>
        </w:rPr>
        <w:t xml:space="preserve">, S., &amp; </w:t>
      </w:r>
      <w:proofErr w:type="spellStart"/>
      <w:r>
        <w:rPr>
          <w:sz w:val="20"/>
          <w:szCs w:val="20"/>
        </w:rPr>
        <w:t>Lapnonkawow</w:t>
      </w:r>
      <w:proofErr w:type="spellEnd"/>
      <w:r>
        <w:rPr>
          <w:sz w:val="20"/>
          <w:szCs w:val="20"/>
        </w:rPr>
        <w:t xml:space="preserve">, S. (2014). Evaluation of Carbon Footprint of Bioplastic Straw compared to Petroleum based Straw Products. </w:t>
      </w:r>
      <w:r w:rsidRPr="009A7CA2">
        <w:rPr>
          <w:i/>
          <w:sz w:val="20"/>
          <w:szCs w:val="20"/>
          <w:lang w:val="nl-NL"/>
        </w:rPr>
        <w:t xml:space="preserve">Energy </w:t>
      </w:r>
      <w:proofErr w:type="spellStart"/>
      <w:r w:rsidRPr="009A7CA2">
        <w:rPr>
          <w:i/>
          <w:sz w:val="20"/>
          <w:szCs w:val="20"/>
          <w:lang w:val="nl-NL"/>
        </w:rPr>
        <w:t>Pro</w:t>
      </w:r>
      <w:r w:rsidRPr="009A7CA2">
        <w:rPr>
          <w:i/>
          <w:sz w:val="20"/>
          <w:szCs w:val="20"/>
          <w:lang w:val="nl-NL"/>
        </w:rPr>
        <w:t>cedia</w:t>
      </w:r>
      <w:proofErr w:type="spellEnd"/>
      <w:r w:rsidRPr="009A7CA2">
        <w:rPr>
          <w:sz w:val="20"/>
          <w:szCs w:val="20"/>
          <w:lang w:val="nl-NL"/>
        </w:rPr>
        <w:t xml:space="preserve">, </w:t>
      </w:r>
      <w:r w:rsidRPr="009A7CA2">
        <w:rPr>
          <w:i/>
          <w:sz w:val="20"/>
          <w:szCs w:val="20"/>
          <w:lang w:val="nl-NL"/>
        </w:rPr>
        <w:t>56</w:t>
      </w:r>
      <w:r w:rsidRPr="009A7CA2">
        <w:rPr>
          <w:sz w:val="20"/>
          <w:szCs w:val="20"/>
          <w:lang w:val="nl-NL"/>
        </w:rPr>
        <w:t>, 518–524. https://doi.org/10.1016/j.egypro.2014.07.187</w:t>
      </w:r>
    </w:p>
    <w:p w:rsidR="00DC7D99" w:rsidRDefault="00536E3A">
      <w:pPr>
        <w:widowControl w:val="0"/>
        <w:spacing w:line="240" w:lineRule="auto"/>
        <w:ind w:left="480" w:hanging="480"/>
        <w:rPr>
          <w:sz w:val="20"/>
          <w:szCs w:val="20"/>
        </w:rPr>
      </w:pPr>
      <w:proofErr w:type="spellStart"/>
      <w:r w:rsidRPr="009A7CA2">
        <w:rPr>
          <w:sz w:val="20"/>
          <w:szCs w:val="20"/>
          <w:lang w:val="nl-NL"/>
        </w:rPr>
        <w:t>Croezen</w:t>
      </w:r>
      <w:proofErr w:type="spellEnd"/>
      <w:r w:rsidRPr="009A7CA2">
        <w:rPr>
          <w:sz w:val="20"/>
          <w:szCs w:val="20"/>
          <w:lang w:val="nl-NL"/>
        </w:rPr>
        <w:t xml:space="preserve">, H. J., &amp; Lieshout, M. van. (2015). Handleiding CO2-waarden voor </w:t>
      </w:r>
      <w:proofErr w:type="spellStart"/>
      <w:r w:rsidRPr="009A7CA2">
        <w:rPr>
          <w:sz w:val="20"/>
          <w:szCs w:val="20"/>
          <w:lang w:val="nl-NL"/>
        </w:rPr>
        <w:t>biobased</w:t>
      </w:r>
      <w:proofErr w:type="spellEnd"/>
      <w:r w:rsidRPr="009A7CA2">
        <w:rPr>
          <w:sz w:val="20"/>
          <w:szCs w:val="20"/>
          <w:lang w:val="nl-NL"/>
        </w:rPr>
        <w:t xml:space="preserve"> grondstoffen volgens MJA3/MEE-methodiek. </w:t>
      </w:r>
      <w:r>
        <w:rPr>
          <w:i/>
          <w:sz w:val="20"/>
          <w:szCs w:val="20"/>
        </w:rPr>
        <w:t>CE Delft</w:t>
      </w:r>
      <w:r>
        <w:rPr>
          <w:sz w:val="20"/>
          <w:szCs w:val="20"/>
        </w:rPr>
        <w:t>, 73.</w:t>
      </w:r>
    </w:p>
    <w:p w:rsidR="00DC7D99" w:rsidRDefault="00DC7D99"/>
    <w:sectPr w:rsidR="00DC7D9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3A" w:rsidRDefault="00536E3A">
      <w:pPr>
        <w:spacing w:after="0" w:line="240" w:lineRule="auto"/>
      </w:pPr>
      <w:r>
        <w:separator/>
      </w:r>
    </w:p>
  </w:endnote>
  <w:endnote w:type="continuationSeparator" w:id="0">
    <w:p w:rsidR="00536E3A" w:rsidRDefault="0053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3A" w:rsidRDefault="00536E3A">
      <w:pPr>
        <w:spacing w:after="0" w:line="240" w:lineRule="auto"/>
      </w:pPr>
      <w:r>
        <w:separator/>
      </w:r>
    </w:p>
  </w:footnote>
  <w:footnote w:type="continuationSeparator" w:id="0">
    <w:p w:rsidR="00536E3A" w:rsidRDefault="00536E3A">
      <w:pPr>
        <w:spacing w:after="0" w:line="240" w:lineRule="auto"/>
      </w:pPr>
      <w:r>
        <w:continuationSeparator/>
      </w:r>
    </w:p>
  </w:footnote>
  <w:footnote w:id="1">
    <w:p w:rsidR="00DC7D99" w:rsidRDefault="00536E3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Data retrieved from: </w:t>
      </w:r>
      <w:hyperlink r:id="rId1">
        <w:r>
          <w:rPr>
            <w:color w:val="0563C1"/>
            <w:sz w:val="20"/>
            <w:szCs w:val="20"/>
            <w:u w:val="single"/>
          </w:rPr>
          <w:t>https://www.un.org/development/desa/publications/world-population-prospects-the-2017-revision.html</w:t>
        </w:r>
      </w:hyperlink>
      <w:r>
        <w:rPr>
          <w:color w:val="000000"/>
          <w:sz w:val="20"/>
          <w:szCs w:val="20"/>
        </w:rPr>
        <w:t xml:space="preserve"> </w:t>
      </w:r>
    </w:p>
  </w:footnote>
  <w:footnote w:id="2">
    <w:p w:rsidR="00DC7D99" w:rsidRDefault="00536E3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Data retrieved from: </w:t>
      </w:r>
      <w:hyperlink r:id="rId2">
        <w:r>
          <w:rPr>
            <w:color w:val="0563C1"/>
            <w:sz w:val="20"/>
            <w:szCs w:val="20"/>
            <w:u w:val="single"/>
          </w:rPr>
          <w:t>http://www.worldwatch.org/global-plastic-production-rises-recycling-lags-0</w:t>
        </w:r>
      </w:hyperlink>
      <w:r>
        <w:rPr>
          <w:color w:val="000000"/>
          <w:sz w:val="20"/>
          <w:szCs w:val="20"/>
        </w:rPr>
        <w:t xml:space="preserve"> </w:t>
      </w:r>
    </w:p>
  </w:footnote>
  <w:footnote w:id="3">
    <w:p w:rsidR="009A7CA2" w:rsidRPr="009A7CA2" w:rsidRDefault="009A7CA2">
      <w:pPr>
        <w:pStyle w:val="Voetnoottekst"/>
      </w:pPr>
      <w:r>
        <w:rPr>
          <w:rStyle w:val="Voetnootmarkering"/>
        </w:rPr>
        <w:footnoteRef/>
      </w:r>
      <w:r w:rsidRPr="009A7CA2">
        <w:t xml:space="preserve"> </w:t>
      </w:r>
      <w:r>
        <w:rPr>
          <w:color w:val="000000"/>
        </w:rPr>
        <w:t>Data retrieved from:</w:t>
      </w:r>
      <w:r>
        <w:rPr>
          <w:color w:val="000000"/>
        </w:rPr>
        <w:t xml:space="preserve"> </w:t>
      </w:r>
      <w:hyperlink r:id="rId3" w:history="1">
        <w:r w:rsidRPr="00834A07">
          <w:rPr>
            <w:rStyle w:val="Hyperlink"/>
          </w:rPr>
          <w:t>http://www.joostdevree.nl/shtmls/warmtestroom.shtml</w:t>
        </w:r>
      </w:hyperlink>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71E9"/>
    <w:multiLevelType w:val="multilevel"/>
    <w:tmpl w:val="A4FA8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A66C5D"/>
    <w:multiLevelType w:val="multilevel"/>
    <w:tmpl w:val="E79A8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C86C06"/>
    <w:multiLevelType w:val="hybridMultilevel"/>
    <w:tmpl w:val="4AA4DD16"/>
    <w:lvl w:ilvl="0" w:tplc="B02AD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87933"/>
    <w:multiLevelType w:val="hybridMultilevel"/>
    <w:tmpl w:val="6B38DADA"/>
    <w:lvl w:ilvl="0" w:tplc="72A0C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7D99"/>
    <w:rsid w:val="00536E3A"/>
    <w:rsid w:val="005D0DE4"/>
    <w:rsid w:val="008B7700"/>
    <w:rsid w:val="009A7CA2"/>
    <w:rsid w:val="00BA0220"/>
    <w:rsid w:val="00D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4F00"/>
  <w15:docId w15:val="{C4E67060-4BFE-4D66-9B46-3AD88848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unhideWhenUsed/>
    <w:qFormat/>
    <w:pPr>
      <w:keepNext/>
      <w:keepLines/>
      <w:spacing w:before="40" w:after="0"/>
      <w:outlineLvl w:val="1"/>
    </w:pPr>
    <w:rPr>
      <w:color w:val="2F5496"/>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Voetnoottekst">
    <w:name w:val="footnote text"/>
    <w:basedOn w:val="Standaard"/>
    <w:link w:val="VoetnoottekstChar"/>
    <w:uiPriority w:val="99"/>
    <w:semiHidden/>
    <w:unhideWhenUsed/>
    <w:rsid w:val="009A7C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7CA2"/>
    <w:rPr>
      <w:sz w:val="20"/>
      <w:szCs w:val="20"/>
    </w:rPr>
  </w:style>
  <w:style w:type="character" w:styleId="Voetnootmarkering">
    <w:name w:val="footnote reference"/>
    <w:basedOn w:val="Standaardalinea-lettertype"/>
    <w:uiPriority w:val="99"/>
    <w:semiHidden/>
    <w:unhideWhenUsed/>
    <w:rsid w:val="009A7CA2"/>
    <w:rPr>
      <w:vertAlign w:val="superscript"/>
    </w:rPr>
  </w:style>
  <w:style w:type="character" w:styleId="Hyperlink">
    <w:name w:val="Hyperlink"/>
    <w:basedOn w:val="Standaardalinea-lettertype"/>
    <w:uiPriority w:val="99"/>
    <w:unhideWhenUsed/>
    <w:rsid w:val="009A7CA2"/>
    <w:rPr>
      <w:color w:val="0000FF" w:themeColor="hyperlink"/>
      <w:u w:val="single"/>
    </w:rPr>
  </w:style>
  <w:style w:type="character" w:styleId="Onopgelostemelding">
    <w:name w:val="Unresolved Mention"/>
    <w:basedOn w:val="Standaardalinea-lettertype"/>
    <w:uiPriority w:val="99"/>
    <w:semiHidden/>
    <w:unhideWhenUsed/>
    <w:rsid w:val="009A7CA2"/>
    <w:rPr>
      <w:color w:val="605E5C"/>
      <w:shd w:val="clear" w:color="auto" w:fill="E1DFDD"/>
    </w:rPr>
  </w:style>
  <w:style w:type="paragraph" w:styleId="Lijstalinea">
    <w:name w:val="List Paragraph"/>
    <w:basedOn w:val="Standaard"/>
    <w:uiPriority w:val="34"/>
    <w:qFormat/>
    <w:rsid w:val="009A7CA2"/>
    <w:pPr>
      <w:ind w:left="720"/>
      <w:contextualSpacing/>
    </w:pPr>
  </w:style>
  <w:style w:type="character" w:styleId="Tekstvantijdelijkeaanduiding">
    <w:name w:val="Placeholder Text"/>
    <w:basedOn w:val="Standaardalinea-lettertype"/>
    <w:uiPriority w:val="99"/>
    <w:semiHidden/>
    <w:rsid w:val="009A7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2018.igem.org/Team:Groningen/Applied_Design" TargetMode="External"/><Relationship Id="rId4" Type="http://schemas.openxmlformats.org/officeDocument/2006/relationships/settings" Target="settings.xml"/><Relationship Id="rId9" Type="http://schemas.openxmlformats.org/officeDocument/2006/relationships/hyperlink" Target="http://www.scielo.org.za/scielo.php?script=sci_arttext&amp;pid=S1021-201920130002000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oostdevree.nl/shtmls/warmtestroom.shtml" TargetMode="External"/><Relationship Id="rId2" Type="http://schemas.openxmlformats.org/officeDocument/2006/relationships/hyperlink" Target="http://www.worldwatch.org/global-plastic-production-rises-recycling-lags-0" TargetMode="External"/><Relationship Id="rId1" Type="http://schemas.openxmlformats.org/officeDocument/2006/relationships/hyperlink" Target="https://www.un.org/development/desa/publications/world-population-prospects-the-2017-re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75EC-9CA3-443D-89D4-79435B72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Schepers</cp:lastModifiedBy>
  <cp:revision>2</cp:revision>
  <dcterms:created xsi:type="dcterms:W3CDTF">2018-10-17T16:38:00Z</dcterms:created>
  <dcterms:modified xsi:type="dcterms:W3CDTF">2018-10-17T16:38:00Z</dcterms:modified>
</cp:coreProperties>
</file>